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F3" w:rsidRPr="008B4F36" w:rsidRDefault="00B47382" w:rsidP="00A20EF3">
      <w:pPr>
        <w:pStyle w:val="Pavadinimas"/>
        <w:rPr>
          <w:szCs w:val="28"/>
        </w:rPr>
      </w:pPr>
      <w:bookmarkStart w:id="0" w:name="_GoBack"/>
      <w:bookmarkEnd w:id="0"/>
      <w:r>
        <w:rPr>
          <w:szCs w:val="28"/>
        </w:rPr>
        <w:t>3</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314167">
      <w:pPr>
        <w:pStyle w:val="Antrat1"/>
        <w:keepNext w:val="0"/>
        <w:widowControl w:val="0"/>
        <w:tabs>
          <w:tab w:val="center" w:pos="4536"/>
        </w:tabs>
        <w:jc w:val="center"/>
        <w:rPr>
          <w:sz w:val="24"/>
          <w:szCs w:val="24"/>
        </w:rPr>
      </w:pPr>
      <w:r w:rsidRPr="00EC38D5">
        <w:rPr>
          <w:sz w:val="24"/>
          <w:szCs w:val="24"/>
        </w:rPr>
        <w:t>SPRENDIMAS</w:t>
      </w:r>
    </w:p>
    <w:p w:rsidR="00314167" w:rsidRPr="00314167" w:rsidRDefault="00314167" w:rsidP="00314167">
      <w:pPr>
        <w:jc w:val="center"/>
        <w:rPr>
          <w:rFonts w:ascii="Times New Roman" w:hAnsi="Times New Roman"/>
          <w:b/>
          <w:sz w:val="24"/>
          <w:szCs w:val="24"/>
        </w:rPr>
      </w:pPr>
      <w:r w:rsidRPr="00314167">
        <w:rPr>
          <w:rFonts w:ascii="Times New Roman" w:hAnsi="Times New Roman"/>
          <w:b/>
          <w:sz w:val="24"/>
          <w:szCs w:val="24"/>
        </w:rPr>
        <w:t>DĖL KAUNO RAJONO SAVIVALDYBĖS 2017 M. BIUDŽETO PATVIRTINIMO</w:t>
      </w:r>
    </w:p>
    <w:p w:rsidR="00314167" w:rsidRPr="00314167" w:rsidRDefault="00314167" w:rsidP="00314167">
      <w:pPr>
        <w:spacing w:line="360" w:lineRule="auto"/>
        <w:jc w:val="center"/>
        <w:rPr>
          <w:rFonts w:ascii="Times New Roman" w:hAnsi="Times New Roman"/>
          <w:sz w:val="24"/>
        </w:rPr>
      </w:pPr>
    </w:p>
    <w:p w:rsidR="00314167" w:rsidRPr="00314167" w:rsidRDefault="00314167" w:rsidP="00314167">
      <w:pPr>
        <w:jc w:val="center"/>
        <w:rPr>
          <w:rFonts w:ascii="Times New Roman" w:hAnsi="Times New Roman"/>
          <w:sz w:val="24"/>
        </w:rPr>
      </w:pPr>
      <w:r w:rsidRPr="00314167">
        <w:rPr>
          <w:rFonts w:ascii="Times New Roman" w:hAnsi="Times New Roman"/>
          <w:sz w:val="24"/>
        </w:rPr>
        <w:t>2017 m. vasario 23 d.  Nr. TS-</w:t>
      </w:r>
      <w:r w:rsidR="00B557BD">
        <w:rPr>
          <w:rFonts w:ascii="Times New Roman" w:hAnsi="Times New Roman"/>
          <w:sz w:val="24"/>
        </w:rPr>
        <w:t>55</w:t>
      </w:r>
    </w:p>
    <w:p w:rsidR="00314167" w:rsidRPr="00314167" w:rsidRDefault="00314167" w:rsidP="00314167">
      <w:pPr>
        <w:jc w:val="center"/>
        <w:rPr>
          <w:rFonts w:ascii="Times New Roman" w:hAnsi="Times New Roman"/>
          <w:sz w:val="24"/>
        </w:rPr>
      </w:pPr>
      <w:r w:rsidRPr="00314167">
        <w:rPr>
          <w:rFonts w:ascii="Times New Roman" w:hAnsi="Times New Roman"/>
          <w:sz w:val="24"/>
        </w:rPr>
        <w:t>Kaunas</w:t>
      </w:r>
    </w:p>
    <w:p w:rsidR="00314167" w:rsidRPr="00314167" w:rsidRDefault="00314167" w:rsidP="00314167">
      <w:pPr>
        <w:spacing w:line="360" w:lineRule="auto"/>
        <w:ind w:left="720"/>
        <w:jc w:val="both"/>
        <w:rPr>
          <w:rFonts w:ascii="Times New Roman" w:hAnsi="Times New Roman"/>
          <w:sz w:val="24"/>
        </w:rPr>
      </w:pPr>
    </w:p>
    <w:p w:rsidR="00314167" w:rsidRPr="00314167" w:rsidRDefault="00314167" w:rsidP="00314167">
      <w:pPr>
        <w:spacing w:line="360" w:lineRule="auto"/>
        <w:ind w:left="720"/>
        <w:jc w:val="both"/>
        <w:rPr>
          <w:rFonts w:ascii="Times New Roman" w:hAnsi="Times New Roman"/>
          <w:sz w:val="24"/>
        </w:rPr>
      </w:pP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rPr>
        <w:t xml:space="preserve">Vadovaudamasi Lietuvos Respublikos vietos savivaldos įstatymo 16 straipsnio </w:t>
      </w:r>
      <w:r w:rsidRPr="00314167">
        <w:rPr>
          <w:rFonts w:ascii="Times New Roman" w:hAnsi="Times New Roman"/>
          <w:sz w:val="24"/>
        </w:rPr>
        <w:br/>
        <w:t>2 dalies 15 punktu, Lietuvos Respublikos biudžeto sandaros įstatymo 26 straipsnio 4 dalimi, Lietuvos Respublikos 2017 m. valstybės biudžeto ir savivaldybių biudžetų finansinių rodiklių patvirtinimo įstatymu, Lietuvos Respublikos valstybės biudžeto ir savivaldybių biudžetų sudarymo ir vykdymo taisyklėmis, patvirtintomis Lietuvos Respublikos Vyriausybės 2014 m. rugsėjo 29</w:t>
      </w:r>
      <w:r>
        <w:rPr>
          <w:rFonts w:ascii="Times New Roman" w:hAnsi="Times New Roman"/>
          <w:sz w:val="24"/>
        </w:rPr>
        <w:t xml:space="preserve"> d. nutarimu</w:t>
      </w:r>
      <w:r w:rsidRPr="00314167">
        <w:rPr>
          <w:rFonts w:ascii="Times New Roman" w:hAnsi="Times New Roman"/>
          <w:sz w:val="24"/>
        </w:rPr>
        <w:t xml:space="preserve"> Nr. 1046 „Dėl Lietuvos Respublikos Vyriausybės 2001 m. gegužės </w:t>
      </w:r>
      <w:r>
        <w:rPr>
          <w:rFonts w:ascii="Times New Roman" w:hAnsi="Times New Roman"/>
          <w:sz w:val="24"/>
        </w:rPr>
        <w:br/>
      </w:r>
      <w:r w:rsidRPr="00314167">
        <w:rPr>
          <w:rFonts w:ascii="Times New Roman" w:hAnsi="Times New Roman"/>
          <w:sz w:val="24"/>
        </w:rPr>
        <w:t>14 d. nutarimo Nr. 543 ,,Dėl Lietuvos Respublikos valstybės biudžeto ir savivaldybių biudžetų sudarymo ir vykdymo taisyklių patvirtinimo“ pakeitimo“, Kauno rajono savivaldybės biudžeto sudarymo ir vykdymo taisyklėmis, patvirtintomis Kauno rajono savivaldybės tarybos 2015 m. spalio 22 d. sprendimu Nr. TS-319 „Dėl Kauno rajono savivaldybės biudžeto sudarymo ir vykdymo taisyklių patvirtinimo“, Kauno rajono savivaldybės taryba</w:t>
      </w:r>
      <w:r>
        <w:rPr>
          <w:rFonts w:ascii="Times New Roman" w:hAnsi="Times New Roman"/>
          <w:sz w:val="24"/>
        </w:rPr>
        <w:t xml:space="preserve"> </w:t>
      </w:r>
      <w:r w:rsidRPr="00314167">
        <w:rPr>
          <w:rFonts w:ascii="Times New Roman" w:hAnsi="Times New Roman"/>
          <w:sz w:val="24"/>
        </w:rPr>
        <w:t xml:space="preserve"> </w:t>
      </w:r>
      <w:r w:rsidRPr="00314167">
        <w:rPr>
          <w:rFonts w:ascii="Times New Roman" w:hAnsi="Times New Roman"/>
          <w:spacing w:val="40"/>
          <w:sz w:val="24"/>
          <w:szCs w:val="24"/>
        </w:rPr>
        <w:t>nusprendžia:</w:t>
      </w:r>
    </w:p>
    <w:p w:rsidR="00314167" w:rsidRPr="00314167" w:rsidRDefault="00314167" w:rsidP="00314167">
      <w:pPr>
        <w:spacing w:line="360" w:lineRule="auto"/>
        <w:ind w:firstLine="851"/>
        <w:jc w:val="both"/>
        <w:rPr>
          <w:rFonts w:ascii="Times New Roman" w:hAnsi="Times New Roman"/>
          <w:sz w:val="24"/>
        </w:rPr>
      </w:pPr>
      <w:r w:rsidRPr="00314167">
        <w:rPr>
          <w:rFonts w:ascii="Times New Roman" w:hAnsi="Times New Roman"/>
          <w:sz w:val="24"/>
          <w:szCs w:val="24"/>
        </w:rPr>
        <w:t>Patvirtinti:</w:t>
      </w:r>
    </w:p>
    <w:p w:rsidR="00314167" w:rsidRPr="00314167" w:rsidRDefault="00314167" w:rsidP="00314167">
      <w:pPr>
        <w:tabs>
          <w:tab w:val="left" w:pos="851"/>
        </w:tabs>
        <w:spacing w:line="360" w:lineRule="auto"/>
        <w:ind w:firstLine="851"/>
        <w:jc w:val="both"/>
        <w:rPr>
          <w:rFonts w:ascii="Times New Roman" w:hAnsi="Times New Roman"/>
          <w:sz w:val="24"/>
        </w:rPr>
      </w:pPr>
      <w:r w:rsidRPr="00314167">
        <w:rPr>
          <w:rFonts w:ascii="Times New Roman" w:hAnsi="Times New Roman"/>
          <w:color w:val="000000"/>
          <w:spacing w:val="-1"/>
          <w:sz w:val="24"/>
          <w:szCs w:val="24"/>
        </w:rPr>
        <w:t xml:space="preserve">1. </w:t>
      </w:r>
      <w:r w:rsidRPr="00314167">
        <w:rPr>
          <w:rFonts w:ascii="Times New Roman" w:hAnsi="Times New Roman"/>
          <w:sz w:val="24"/>
          <w:szCs w:val="24"/>
        </w:rPr>
        <w:t>Kauno rajono savivaldybės 2017 m. biudžetą – 59 808,7 tūkst.</w:t>
      </w:r>
      <w:r w:rsidRPr="00314167">
        <w:rPr>
          <w:rFonts w:ascii="Times New Roman" w:hAnsi="Times New Roman"/>
          <w:color w:val="000000"/>
          <w:spacing w:val="-1"/>
          <w:sz w:val="24"/>
          <w:szCs w:val="24"/>
        </w:rPr>
        <w:t xml:space="preserve"> Eur</w:t>
      </w:r>
      <w:r w:rsidRPr="00314167">
        <w:rPr>
          <w:rFonts w:ascii="Times New Roman" w:hAnsi="Times New Roman"/>
          <w:sz w:val="24"/>
        </w:rPr>
        <w:t xml:space="preserve"> pajamų ir jų paskirstymą pagal pajamų rūšis (1 priedas);</w:t>
      </w:r>
    </w:p>
    <w:p w:rsidR="00314167" w:rsidRPr="00314167" w:rsidRDefault="00314167" w:rsidP="00314167">
      <w:pPr>
        <w:tabs>
          <w:tab w:val="left" w:pos="851"/>
        </w:tabs>
        <w:spacing w:line="360" w:lineRule="auto"/>
        <w:ind w:firstLine="851"/>
        <w:jc w:val="both"/>
        <w:rPr>
          <w:rFonts w:ascii="Times New Roman" w:hAnsi="Times New Roman"/>
          <w:sz w:val="24"/>
        </w:rPr>
      </w:pPr>
      <w:r w:rsidRPr="00314167">
        <w:rPr>
          <w:rFonts w:ascii="Times New Roman" w:hAnsi="Times New Roman"/>
          <w:sz w:val="24"/>
        </w:rPr>
        <w:t>2.</w:t>
      </w:r>
      <w:r w:rsidRPr="00314167">
        <w:rPr>
          <w:rFonts w:ascii="Times New Roman" w:hAnsi="Times New Roman"/>
          <w:color w:val="000000"/>
          <w:spacing w:val="-1"/>
          <w:sz w:val="24"/>
          <w:szCs w:val="24"/>
        </w:rPr>
        <w:t xml:space="preserve"> 61 099,3 tūkst. Eur</w:t>
      </w:r>
      <w:r w:rsidRPr="00314167">
        <w:rPr>
          <w:rFonts w:ascii="Times New Roman" w:hAnsi="Times New Roman"/>
          <w:sz w:val="24"/>
        </w:rPr>
        <w:t xml:space="preserve"> išlaidų ir jų paskirstymą asignavimų valdytojams (nepanaudoti asignavimai iš skolintų lėšų investicijų projektams finansuoti viršija pajamas </w:t>
      </w:r>
      <w:r>
        <w:rPr>
          <w:rFonts w:ascii="Times New Roman" w:hAnsi="Times New Roman"/>
          <w:sz w:val="24"/>
        </w:rPr>
        <w:br/>
      </w:r>
      <w:r w:rsidRPr="00314167">
        <w:rPr>
          <w:rFonts w:ascii="Times New Roman" w:hAnsi="Times New Roman"/>
          <w:sz w:val="24"/>
        </w:rPr>
        <w:t xml:space="preserve">1 448,0 tūkst. Eur; asignavimai iš laisvo biudžeto lėšų likučio viršija pajamas </w:t>
      </w:r>
      <w:r>
        <w:rPr>
          <w:rFonts w:ascii="Times New Roman" w:hAnsi="Times New Roman"/>
          <w:sz w:val="24"/>
        </w:rPr>
        <w:br/>
      </w:r>
      <w:r w:rsidRPr="00314167">
        <w:rPr>
          <w:rFonts w:ascii="Times New Roman" w:hAnsi="Times New Roman"/>
          <w:sz w:val="24"/>
        </w:rPr>
        <w:t>1 290,6 tūkst. Eur (2, 2.1, 2.2, 3, 4, 5, 6, 7 ir 8 priedai); asignavimai mažėja grąžintinų paskolų suma 1 448,0 tūkst. Eur).</w:t>
      </w:r>
    </w:p>
    <w:p w:rsidR="00314167" w:rsidRPr="00314167" w:rsidRDefault="00314167" w:rsidP="00314167">
      <w:pPr>
        <w:tabs>
          <w:tab w:val="left" w:pos="851"/>
        </w:tabs>
        <w:spacing w:line="360" w:lineRule="auto"/>
        <w:ind w:firstLine="851"/>
        <w:jc w:val="both"/>
        <w:rPr>
          <w:rFonts w:ascii="Times New Roman" w:hAnsi="Times New Roman"/>
          <w:sz w:val="24"/>
        </w:rPr>
      </w:pPr>
      <w:r w:rsidRPr="00314167">
        <w:rPr>
          <w:rFonts w:ascii="Times New Roman" w:hAnsi="Times New Roman"/>
          <w:sz w:val="24"/>
        </w:rPr>
        <w:tab/>
      </w:r>
    </w:p>
    <w:p w:rsidR="00314167" w:rsidRPr="00314167" w:rsidRDefault="00314167" w:rsidP="00314167">
      <w:pPr>
        <w:tabs>
          <w:tab w:val="left" w:pos="851"/>
        </w:tabs>
        <w:spacing w:line="360" w:lineRule="auto"/>
        <w:jc w:val="both"/>
        <w:rPr>
          <w:rFonts w:ascii="Times New Roman" w:hAnsi="Times New Roman"/>
          <w:sz w:val="24"/>
        </w:rPr>
      </w:pPr>
    </w:p>
    <w:p w:rsidR="00314167" w:rsidRPr="00314167" w:rsidRDefault="00314167" w:rsidP="00314167">
      <w:pPr>
        <w:tabs>
          <w:tab w:val="left" w:pos="851"/>
        </w:tabs>
        <w:spacing w:line="360" w:lineRule="auto"/>
        <w:jc w:val="both"/>
        <w:rPr>
          <w:rFonts w:ascii="Times New Roman" w:hAnsi="Times New Roman"/>
          <w:sz w:val="24"/>
          <w:szCs w:val="24"/>
        </w:rPr>
      </w:pPr>
      <w:r w:rsidRPr="00314167">
        <w:rPr>
          <w:rFonts w:ascii="Times New Roman" w:hAnsi="Times New Roman"/>
          <w:sz w:val="24"/>
          <w:szCs w:val="24"/>
        </w:rPr>
        <w:t>Savivaldybės meras</w:t>
      </w:r>
      <w:r w:rsidRPr="00314167">
        <w:rPr>
          <w:rFonts w:ascii="Times New Roman" w:hAnsi="Times New Roman"/>
          <w:sz w:val="24"/>
          <w:szCs w:val="24"/>
        </w:rPr>
        <w:tab/>
      </w:r>
      <w:r w:rsidRPr="00314167">
        <w:rPr>
          <w:rFonts w:ascii="Times New Roman" w:hAnsi="Times New Roman"/>
          <w:sz w:val="24"/>
          <w:szCs w:val="24"/>
        </w:rPr>
        <w:tab/>
      </w:r>
      <w:r w:rsidRPr="00314167">
        <w:rPr>
          <w:rFonts w:ascii="Times New Roman" w:hAnsi="Times New Roman"/>
          <w:sz w:val="24"/>
          <w:szCs w:val="24"/>
        </w:rPr>
        <w:tab/>
      </w:r>
      <w:r w:rsidRPr="00314167">
        <w:rPr>
          <w:rFonts w:ascii="Times New Roman" w:hAnsi="Times New Roman"/>
          <w:sz w:val="24"/>
          <w:szCs w:val="24"/>
        </w:rPr>
        <w:tab/>
      </w:r>
      <w:r w:rsidRPr="00314167">
        <w:rPr>
          <w:rFonts w:ascii="Times New Roman" w:hAnsi="Times New Roman"/>
          <w:sz w:val="24"/>
          <w:szCs w:val="24"/>
        </w:rPr>
        <w:tab/>
      </w:r>
      <w:r w:rsidRPr="00314167">
        <w:rPr>
          <w:rFonts w:ascii="Times New Roman" w:hAnsi="Times New Roman"/>
          <w:sz w:val="24"/>
          <w:szCs w:val="24"/>
        </w:rPr>
        <w:tab/>
      </w:r>
      <w:r w:rsidRPr="00314167">
        <w:rPr>
          <w:rFonts w:ascii="Times New Roman" w:hAnsi="Times New Roman"/>
          <w:sz w:val="24"/>
          <w:szCs w:val="24"/>
        </w:rPr>
        <w:tab/>
      </w:r>
      <w:r>
        <w:rPr>
          <w:rFonts w:ascii="Times New Roman" w:hAnsi="Times New Roman"/>
          <w:sz w:val="24"/>
          <w:szCs w:val="24"/>
        </w:rPr>
        <w:tab/>
        <w:t>Valerijus Makūnas</w:t>
      </w:r>
    </w:p>
    <w:p w:rsidR="00314167" w:rsidRPr="00314167" w:rsidRDefault="00314167" w:rsidP="00314167">
      <w:pPr>
        <w:jc w:val="center"/>
        <w:rPr>
          <w:rFonts w:ascii="Times New Roman" w:hAnsi="Times New Roman"/>
          <w:b/>
          <w:sz w:val="28"/>
          <w:szCs w:val="28"/>
        </w:rPr>
      </w:pPr>
      <w:r w:rsidRPr="00314167">
        <w:rPr>
          <w:rFonts w:ascii="Times New Roman" w:hAnsi="Times New Roman"/>
          <w:b/>
          <w:sz w:val="28"/>
          <w:szCs w:val="28"/>
        </w:rPr>
        <w:lastRenderedPageBreak/>
        <w:t xml:space="preserve">KAUNO RAJONO SAVIVALDYBĖS ADMINISTRACIJOS </w:t>
      </w:r>
    </w:p>
    <w:p w:rsidR="00314167" w:rsidRPr="00314167" w:rsidRDefault="00314167" w:rsidP="00314167">
      <w:pPr>
        <w:jc w:val="center"/>
        <w:rPr>
          <w:rFonts w:ascii="Times New Roman" w:hAnsi="Times New Roman"/>
          <w:b/>
          <w:sz w:val="28"/>
          <w:szCs w:val="28"/>
        </w:rPr>
      </w:pPr>
      <w:r w:rsidRPr="00314167">
        <w:rPr>
          <w:rFonts w:ascii="Times New Roman" w:hAnsi="Times New Roman"/>
          <w:b/>
          <w:sz w:val="28"/>
          <w:szCs w:val="28"/>
        </w:rPr>
        <w:t>BIUDŽETO IR FINANSŲ SKYRIUS</w:t>
      </w:r>
    </w:p>
    <w:p w:rsidR="00314167" w:rsidRPr="00314167" w:rsidRDefault="00314167" w:rsidP="00314167">
      <w:pPr>
        <w:jc w:val="center"/>
        <w:rPr>
          <w:rFonts w:ascii="Times New Roman" w:hAnsi="Times New Roman"/>
          <w:b/>
          <w:sz w:val="24"/>
          <w:szCs w:val="24"/>
        </w:rPr>
      </w:pPr>
    </w:p>
    <w:p w:rsidR="00314167" w:rsidRPr="00314167" w:rsidRDefault="00314167" w:rsidP="00314167">
      <w:pPr>
        <w:jc w:val="center"/>
        <w:rPr>
          <w:rFonts w:ascii="Times New Roman" w:hAnsi="Times New Roman"/>
          <w:b/>
          <w:sz w:val="24"/>
          <w:szCs w:val="24"/>
        </w:rPr>
      </w:pPr>
      <w:r w:rsidRPr="00314167">
        <w:rPr>
          <w:rFonts w:ascii="Times New Roman" w:hAnsi="Times New Roman"/>
          <w:b/>
          <w:sz w:val="24"/>
          <w:szCs w:val="24"/>
        </w:rPr>
        <w:t>SAVIVALDYBĖS TARYBOS SPRENDIMO „DĖL KAUNO RAJONO SAVIVALDYBĖS 2017 M. BIUDŽETO PATVIRTINIMO“ PROJEKTO</w:t>
      </w:r>
    </w:p>
    <w:p w:rsidR="00314167" w:rsidRPr="00314167" w:rsidRDefault="00314167" w:rsidP="00314167">
      <w:pPr>
        <w:jc w:val="center"/>
        <w:rPr>
          <w:rFonts w:ascii="Times New Roman" w:hAnsi="Times New Roman"/>
          <w:b/>
          <w:sz w:val="24"/>
          <w:szCs w:val="24"/>
        </w:rPr>
      </w:pPr>
      <w:r w:rsidRPr="00314167">
        <w:rPr>
          <w:rFonts w:ascii="Times New Roman" w:hAnsi="Times New Roman"/>
          <w:b/>
          <w:sz w:val="24"/>
          <w:szCs w:val="24"/>
        </w:rPr>
        <w:t>AIŠKINAMASIS RAŠTAS</w:t>
      </w:r>
    </w:p>
    <w:p w:rsidR="00314167" w:rsidRPr="00314167" w:rsidRDefault="00314167" w:rsidP="00314167">
      <w:pPr>
        <w:jc w:val="center"/>
        <w:rPr>
          <w:rFonts w:ascii="Times New Roman" w:hAnsi="Times New Roman"/>
          <w:b/>
          <w:sz w:val="24"/>
          <w:szCs w:val="24"/>
        </w:rPr>
      </w:pPr>
    </w:p>
    <w:p w:rsidR="00314167" w:rsidRPr="00314167" w:rsidRDefault="00314167" w:rsidP="00314167">
      <w:pPr>
        <w:jc w:val="center"/>
        <w:rPr>
          <w:rFonts w:ascii="Times New Roman" w:hAnsi="Times New Roman"/>
          <w:sz w:val="24"/>
          <w:szCs w:val="24"/>
        </w:rPr>
      </w:pPr>
      <w:r w:rsidRPr="00314167">
        <w:rPr>
          <w:rFonts w:ascii="Times New Roman" w:hAnsi="Times New Roman"/>
          <w:sz w:val="24"/>
          <w:szCs w:val="24"/>
        </w:rPr>
        <w:t>2017 m. vasario 10 d.</w:t>
      </w:r>
    </w:p>
    <w:p w:rsidR="00314167" w:rsidRPr="00314167" w:rsidRDefault="00314167" w:rsidP="00314167">
      <w:pPr>
        <w:jc w:val="center"/>
        <w:rPr>
          <w:rFonts w:ascii="Times New Roman" w:hAnsi="Times New Roman"/>
          <w:sz w:val="24"/>
          <w:szCs w:val="24"/>
        </w:rPr>
      </w:pPr>
      <w:r w:rsidRPr="00314167">
        <w:rPr>
          <w:rFonts w:ascii="Times New Roman" w:hAnsi="Times New Roman"/>
          <w:sz w:val="24"/>
          <w:szCs w:val="24"/>
        </w:rPr>
        <w:t>Kaunas</w:t>
      </w:r>
    </w:p>
    <w:p w:rsidR="00314167" w:rsidRPr="00314167" w:rsidRDefault="00314167" w:rsidP="00314167">
      <w:pPr>
        <w:tabs>
          <w:tab w:val="center" w:pos="4819"/>
          <w:tab w:val="left" w:pos="6946"/>
          <w:tab w:val="right" w:pos="9639"/>
        </w:tabs>
        <w:spacing w:line="360" w:lineRule="auto"/>
        <w:rPr>
          <w:rFonts w:ascii="Times New Roman" w:hAnsi="Times New Roman"/>
          <w:b/>
          <w:sz w:val="24"/>
          <w:szCs w:val="24"/>
          <w:lang w:eastAsia="en-US"/>
        </w:rPr>
      </w:pPr>
    </w:p>
    <w:p w:rsidR="00314167" w:rsidRPr="00314167" w:rsidRDefault="00314167" w:rsidP="00F9743A">
      <w:pPr>
        <w:numPr>
          <w:ilvl w:val="0"/>
          <w:numId w:val="1"/>
        </w:numPr>
        <w:tabs>
          <w:tab w:val="left" w:pos="1134"/>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Sprendimo projekto rengimą paskatinusios priežastys, tikslai.</w:t>
      </w:r>
    </w:p>
    <w:p w:rsidR="00314167" w:rsidRPr="00314167" w:rsidRDefault="00314167" w:rsidP="00314167">
      <w:pPr>
        <w:tabs>
          <w:tab w:val="left" w:pos="1134"/>
        </w:tabs>
        <w:spacing w:line="360" w:lineRule="auto"/>
        <w:ind w:firstLine="851"/>
        <w:jc w:val="both"/>
        <w:rPr>
          <w:rFonts w:ascii="Times New Roman" w:hAnsi="Times New Roman"/>
          <w:spacing w:val="-4"/>
          <w:sz w:val="24"/>
          <w:szCs w:val="24"/>
        </w:rPr>
      </w:pPr>
      <w:r w:rsidRPr="00314167">
        <w:rPr>
          <w:rFonts w:ascii="Times New Roman" w:hAnsi="Times New Roman"/>
          <w:spacing w:val="-4"/>
          <w:sz w:val="24"/>
          <w:szCs w:val="24"/>
        </w:rPr>
        <w:t>Lietuvos Respublikos Seimas L</w:t>
      </w:r>
      <w:r w:rsidRPr="00314167">
        <w:rPr>
          <w:rFonts w:ascii="Times New Roman" w:hAnsi="Times New Roman"/>
          <w:bCs/>
          <w:spacing w:val="-4"/>
          <w:sz w:val="24"/>
          <w:szCs w:val="24"/>
        </w:rPr>
        <w:t>ietuvos Respublikos</w:t>
      </w:r>
      <w:r w:rsidRPr="00314167">
        <w:rPr>
          <w:rFonts w:ascii="Times New Roman" w:hAnsi="Times New Roman"/>
          <w:spacing w:val="-4"/>
          <w:sz w:val="24"/>
          <w:szCs w:val="24"/>
        </w:rPr>
        <w:t xml:space="preserve"> </w:t>
      </w:r>
      <w:r w:rsidRPr="00314167">
        <w:rPr>
          <w:rFonts w:ascii="Times New Roman" w:hAnsi="Times New Roman"/>
          <w:bCs/>
          <w:spacing w:val="-4"/>
          <w:sz w:val="24"/>
          <w:szCs w:val="24"/>
        </w:rPr>
        <w:t>2017 metų valstybės biudžeto ir savivaldybių biudžetų finansinių rodiklių patvirtinimo</w:t>
      </w:r>
      <w:r w:rsidRPr="00314167">
        <w:rPr>
          <w:rFonts w:ascii="Times New Roman" w:hAnsi="Times New Roman"/>
          <w:spacing w:val="-4"/>
          <w:sz w:val="24"/>
          <w:szCs w:val="24"/>
        </w:rPr>
        <w:t xml:space="preserve"> </w:t>
      </w:r>
      <w:r w:rsidRPr="00314167">
        <w:rPr>
          <w:rFonts w:ascii="Times New Roman" w:hAnsi="Times New Roman"/>
          <w:bCs/>
          <w:spacing w:val="-4"/>
          <w:sz w:val="24"/>
          <w:szCs w:val="24"/>
        </w:rPr>
        <w:t xml:space="preserve">įstatymu </w:t>
      </w:r>
      <w:r w:rsidRPr="00314167">
        <w:rPr>
          <w:rFonts w:ascii="Times New Roman" w:hAnsi="Times New Roman"/>
          <w:spacing w:val="-4"/>
          <w:sz w:val="24"/>
          <w:szCs w:val="24"/>
        </w:rPr>
        <w:t>patvirtino 2017 m. valstybės biudžeto ir savivaldybių biudžetų finansinius rodiklius, kuriais vadovaujantis sudaromas Kauno rajono savivaldybės 2017 m. biudžetas. Savivaldybės taryba biudžetą patvirtina per du mėnesius nuo atitinkamų metų valstybės biudžeto ir savivaldybių biudžetų finansinių rodiklių patvirtinimo.</w:t>
      </w:r>
    </w:p>
    <w:p w:rsidR="00314167" w:rsidRPr="00314167" w:rsidRDefault="00314167" w:rsidP="00314167">
      <w:pPr>
        <w:tabs>
          <w:tab w:val="left" w:pos="1134"/>
        </w:tabs>
        <w:spacing w:line="360" w:lineRule="auto"/>
        <w:ind w:firstLine="851"/>
        <w:jc w:val="both"/>
        <w:rPr>
          <w:rFonts w:ascii="Times New Roman" w:hAnsi="Times New Roman"/>
          <w:spacing w:val="-2"/>
          <w:sz w:val="24"/>
          <w:szCs w:val="24"/>
        </w:rPr>
      </w:pPr>
      <w:r w:rsidRPr="00314167">
        <w:rPr>
          <w:rFonts w:ascii="Times New Roman" w:hAnsi="Times New Roman"/>
          <w:color w:val="000000"/>
          <w:spacing w:val="-3"/>
          <w:sz w:val="24"/>
          <w:szCs w:val="24"/>
        </w:rPr>
        <w:t>Sprendimo projekto tikslas – patvirtinti Kauno rajono savivaldybės 2017 m. biudžetą. Biudžetas subalansuotas ir nedeficitinis. Tęsiama nuostata skirti svarbų dėmesį Kauno rajono gyventojų poreikiams tenkinti švietimo, kultūros, sporto, socialinės apsaugos ir saugumo srityse. 2017 m. biudžetas sudarytas siekiant optimaliai patenkinti asignavimų valdytojų</w:t>
      </w:r>
      <w:r w:rsidRPr="00314167">
        <w:rPr>
          <w:rFonts w:ascii="Times New Roman" w:hAnsi="Times New Roman"/>
          <w:spacing w:val="-2"/>
          <w:sz w:val="24"/>
          <w:szCs w:val="24"/>
        </w:rPr>
        <w:t xml:space="preserve"> poreikius.</w:t>
      </w:r>
    </w:p>
    <w:p w:rsidR="00314167" w:rsidRPr="00314167" w:rsidRDefault="00314167" w:rsidP="00F9743A">
      <w:pPr>
        <w:numPr>
          <w:ilvl w:val="0"/>
          <w:numId w:val="1"/>
        </w:numPr>
        <w:tabs>
          <w:tab w:val="left" w:pos="1134"/>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Teisinis reglamentavimas (kaip šiuo metu reglamentuojami sprendimo projekte aptariami klausimai).</w:t>
      </w:r>
    </w:p>
    <w:p w:rsidR="00314167" w:rsidRPr="00314167" w:rsidRDefault="00314167" w:rsidP="00314167">
      <w:pPr>
        <w:tabs>
          <w:tab w:val="left" w:pos="1134"/>
        </w:tabs>
        <w:spacing w:line="360" w:lineRule="auto"/>
        <w:ind w:firstLine="851"/>
        <w:jc w:val="both"/>
        <w:rPr>
          <w:rFonts w:ascii="Times New Roman" w:hAnsi="Times New Roman"/>
          <w:sz w:val="24"/>
          <w:szCs w:val="24"/>
          <w:lang w:eastAsia="en-US"/>
        </w:rPr>
      </w:pPr>
      <w:r w:rsidRPr="00314167">
        <w:rPr>
          <w:rFonts w:ascii="Times New Roman" w:hAnsi="Times New Roman"/>
          <w:sz w:val="24"/>
          <w:szCs w:val="24"/>
          <w:lang w:eastAsia="en-US"/>
        </w:rPr>
        <w:t xml:space="preserve">Lietuvos Respublikos vietos savivaldos įstatymo </w:t>
      </w:r>
      <w:r w:rsidRPr="00314167">
        <w:rPr>
          <w:rFonts w:ascii="Times New Roman" w:hAnsi="Times New Roman"/>
          <w:sz w:val="24"/>
          <w:szCs w:val="24"/>
        </w:rPr>
        <w:t>16 straipsnio 2 dalies 15 punktas</w:t>
      </w:r>
      <w:r w:rsidRPr="00314167">
        <w:rPr>
          <w:rFonts w:ascii="Times New Roman" w:hAnsi="Times New Roman"/>
          <w:sz w:val="24"/>
          <w:szCs w:val="24"/>
          <w:lang w:eastAsia="en-US"/>
        </w:rPr>
        <w:t xml:space="preserve"> nustato išimtinę savivaldybės tarybos kompetenciją – tvirtinti savivaldybės biudžetą. Lietuvos Respublikos biudžeto sandaros įstatymo </w:t>
      </w:r>
      <w:r w:rsidRPr="00314167">
        <w:rPr>
          <w:rFonts w:ascii="Times New Roman" w:hAnsi="Times New Roman"/>
          <w:sz w:val="24"/>
          <w:szCs w:val="24"/>
        </w:rPr>
        <w:t>26 straipsnio 4 dalyje</w:t>
      </w:r>
      <w:r w:rsidRPr="00314167">
        <w:rPr>
          <w:rFonts w:ascii="Times New Roman" w:hAnsi="Times New Roman"/>
          <w:sz w:val="24"/>
          <w:szCs w:val="24"/>
          <w:lang w:eastAsia="en-US"/>
        </w:rPr>
        <w:t xml:space="preserve"> teigiama, kad savivaldybių biudžetus tvirtina savivaldybių tarybos savo sprendimu.</w:t>
      </w:r>
    </w:p>
    <w:p w:rsidR="00314167" w:rsidRPr="00314167" w:rsidRDefault="00314167" w:rsidP="00F9743A">
      <w:pPr>
        <w:numPr>
          <w:ilvl w:val="0"/>
          <w:numId w:val="1"/>
        </w:numPr>
        <w:tabs>
          <w:tab w:val="left" w:pos="1134"/>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Galimi sprendimo priėmimo padariniai (teigiami ir (ar) neigiami.</w:t>
      </w:r>
    </w:p>
    <w:p w:rsidR="00314167" w:rsidRPr="00314167" w:rsidRDefault="00314167" w:rsidP="00314167">
      <w:pPr>
        <w:tabs>
          <w:tab w:val="left" w:pos="1134"/>
        </w:tabs>
        <w:spacing w:line="360" w:lineRule="auto"/>
        <w:ind w:firstLine="851"/>
        <w:jc w:val="both"/>
        <w:rPr>
          <w:rFonts w:ascii="Times New Roman" w:hAnsi="Times New Roman"/>
          <w:b/>
          <w:sz w:val="24"/>
          <w:szCs w:val="24"/>
          <w:lang w:eastAsia="en-US"/>
        </w:rPr>
      </w:pPr>
      <w:r w:rsidRPr="00314167">
        <w:rPr>
          <w:rFonts w:ascii="Times New Roman" w:hAnsi="Times New Roman"/>
          <w:sz w:val="24"/>
          <w:szCs w:val="24"/>
          <w:lang w:eastAsia="en-US"/>
        </w:rPr>
        <w:t xml:space="preserve">Neigiamų sprendimo padarinių nenumatoma. Teigiami sprendimo padariniai – patvirtinus Kauno rajono savivaldybės 2017 m. biudžetą, tikimasi, kad bus surinktos visos suplanuotos pajamos ir įgyvendintos numatytos programos. </w:t>
      </w:r>
    </w:p>
    <w:p w:rsidR="00314167" w:rsidRPr="00314167" w:rsidRDefault="00314167" w:rsidP="00F9743A">
      <w:pPr>
        <w:numPr>
          <w:ilvl w:val="0"/>
          <w:numId w:val="1"/>
        </w:numPr>
        <w:tabs>
          <w:tab w:val="left" w:pos="1134"/>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Keičiamo ar pripažįstamo netekusiu galios Savivaldybės tarybos sprendimo pakeitimų sąrašas.</w:t>
      </w:r>
    </w:p>
    <w:p w:rsidR="00314167" w:rsidRPr="00314167" w:rsidRDefault="00314167" w:rsidP="00314167">
      <w:pPr>
        <w:tabs>
          <w:tab w:val="left" w:pos="1134"/>
        </w:tabs>
        <w:spacing w:line="360" w:lineRule="auto"/>
        <w:ind w:firstLine="851"/>
        <w:jc w:val="both"/>
        <w:rPr>
          <w:rFonts w:ascii="Times New Roman" w:hAnsi="Times New Roman"/>
          <w:sz w:val="24"/>
          <w:szCs w:val="24"/>
          <w:lang w:eastAsia="en-US"/>
        </w:rPr>
      </w:pPr>
      <w:r w:rsidRPr="00314167">
        <w:rPr>
          <w:rFonts w:ascii="Times New Roman" w:hAnsi="Times New Roman"/>
          <w:sz w:val="24"/>
          <w:szCs w:val="24"/>
          <w:lang w:eastAsia="en-US"/>
        </w:rPr>
        <w:t>Nėra.</w:t>
      </w:r>
    </w:p>
    <w:p w:rsidR="00314167" w:rsidRPr="00314167" w:rsidRDefault="00314167" w:rsidP="00F9743A">
      <w:pPr>
        <w:numPr>
          <w:ilvl w:val="0"/>
          <w:numId w:val="1"/>
        </w:numPr>
        <w:tabs>
          <w:tab w:val="left" w:pos="1134"/>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Lėšos sprendimui įgyvendinti, jų šaltiniai.</w:t>
      </w:r>
    </w:p>
    <w:p w:rsidR="00314167" w:rsidRPr="00314167" w:rsidRDefault="00314167" w:rsidP="00314167">
      <w:pPr>
        <w:tabs>
          <w:tab w:val="left" w:pos="1134"/>
        </w:tabs>
        <w:spacing w:line="360" w:lineRule="auto"/>
        <w:ind w:firstLine="851"/>
        <w:jc w:val="both"/>
        <w:rPr>
          <w:rFonts w:ascii="Times New Roman" w:hAnsi="Times New Roman"/>
          <w:sz w:val="24"/>
          <w:szCs w:val="24"/>
          <w:lang w:eastAsia="en-US"/>
        </w:rPr>
      </w:pPr>
      <w:r w:rsidRPr="00314167">
        <w:rPr>
          <w:rFonts w:ascii="Times New Roman" w:hAnsi="Times New Roman"/>
          <w:sz w:val="24"/>
          <w:szCs w:val="24"/>
          <w:lang w:eastAsia="en-US"/>
        </w:rPr>
        <w:t>Nėra.</w:t>
      </w:r>
    </w:p>
    <w:p w:rsidR="00314167" w:rsidRPr="00314167" w:rsidRDefault="00314167" w:rsidP="00F9743A">
      <w:pPr>
        <w:widowControl w:val="0"/>
        <w:numPr>
          <w:ilvl w:val="0"/>
          <w:numId w:val="1"/>
        </w:numPr>
        <w:tabs>
          <w:tab w:val="left" w:pos="0"/>
          <w:tab w:val="left" w:pos="1134"/>
          <w:tab w:val="left" w:pos="1418"/>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Būtinumas skelbti sprendimą Teisės aktų ir kituose registruose. Viešinimas.</w:t>
      </w:r>
    </w:p>
    <w:p w:rsidR="00314167" w:rsidRPr="00314167" w:rsidRDefault="00314167" w:rsidP="00314167">
      <w:pPr>
        <w:widowControl w:val="0"/>
        <w:tabs>
          <w:tab w:val="left" w:pos="0"/>
          <w:tab w:val="left" w:pos="1134"/>
          <w:tab w:val="left" w:pos="1418"/>
        </w:tabs>
        <w:spacing w:line="360" w:lineRule="auto"/>
        <w:ind w:firstLine="851"/>
        <w:jc w:val="both"/>
        <w:rPr>
          <w:rFonts w:ascii="Times New Roman" w:hAnsi="Times New Roman"/>
          <w:sz w:val="24"/>
          <w:szCs w:val="24"/>
          <w:lang w:eastAsia="en-US"/>
        </w:rPr>
      </w:pPr>
      <w:r w:rsidRPr="00314167">
        <w:rPr>
          <w:rFonts w:ascii="Times New Roman" w:hAnsi="Times New Roman"/>
          <w:sz w:val="24"/>
          <w:szCs w:val="24"/>
          <w:lang w:eastAsia="en-US"/>
        </w:rPr>
        <w:t xml:space="preserve">Skelbti Teisės aktų registre ir Kauno rajono savivaldybės interneto svetainėje </w:t>
      </w:r>
      <w:hyperlink r:id="rId7" w:history="1">
        <w:r w:rsidRPr="00314167">
          <w:rPr>
            <w:rFonts w:ascii="Times New Roman" w:hAnsi="Times New Roman"/>
            <w:color w:val="000000"/>
            <w:sz w:val="24"/>
            <w:szCs w:val="24"/>
            <w:u w:val="single"/>
            <w:lang w:eastAsia="en-US"/>
          </w:rPr>
          <w:t>www.krs.lt</w:t>
        </w:r>
      </w:hyperlink>
      <w:r w:rsidRPr="00314167">
        <w:rPr>
          <w:rFonts w:ascii="Times New Roman" w:hAnsi="Times New Roman"/>
          <w:sz w:val="24"/>
          <w:szCs w:val="24"/>
          <w:lang w:eastAsia="en-US"/>
        </w:rPr>
        <w:t xml:space="preserve">.  </w:t>
      </w:r>
    </w:p>
    <w:p w:rsidR="00314167" w:rsidRPr="00314167" w:rsidRDefault="00314167" w:rsidP="00F9743A">
      <w:pPr>
        <w:widowControl w:val="0"/>
        <w:numPr>
          <w:ilvl w:val="0"/>
          <w:numId w:val="1"/>
        </w:numPr>
        <w:tabs>
          <w:tab w:val="left" w:pos="0"/>
          <w:tab w:val="left" w:pos="1134"/>
          <w:tab w:val="left" w:pos="1418"/>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lastRenderedPageBreak/>
        <w:t>Antikorupcinis vertinimas.</w:t>
      </w:r>
    </w:p>
    <w:p w:rsidR="00314167" w:rsidRPr="00314167" w:rsidRDefault="00314167" w:rsidP="00314167">
      <w:pPr>
        <w:widowControl w:val="0"/>
        <w:spacing w:line="360" w:lineRule="auto"/>
        <w:ind w:firstLine="851"/>
        <w:rPr>
          <w:rFonts w:ascii="Times New Roman" w:hAnsi="Times New Roman"/>
          <w:sz w:val="24"/>
          <w:szCs w:val="24"/>
        </w:rPr>
      </w:pPr>
      <w:r w:rsidRPr="00314167">
        <w:rPr>
          <w:rFonts w:ascii="Times New Roman" w:hAnsi="Times New Roman"/>
          <w:sz w:val="24"/>
          <w:szCs w:val="24"/>
        </w:rPr>
        <w:t>Antikorupcinio vertinimo atlikti nereikia.</w:t>
      </w:r>
    </w:p>
    <w:p w:rsidR="00314167" w:rsidRPr="00314167" w:rsidRDefault="00314167" w:rsidP="00F9743A">
      <w:pPr>
        <w:widowControl w:val="0"/>
        <w:numPr>
          <w:ilvl w:val="0"/>
          <w:numId w:val="1"/>
        </w:numPr>
        <w:tabs>
          <w:tab w:val="left" w:pos="0"/>
          <w:tab w:val="left" w:pos="1134"/>
          <w:tab w:val="left" w:pos="1418"/>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 xml:space="preserve">Numatomo teisinio reguliavimo poveikio vertinimo rezultatai. </w:t>
      </w:r>
    </w:p>
    <w:p w:rsidR="00314167" w:rsidRPr="00314167" w:rsidRDefault="00314167" w:rsidP="00314167">
      <w:pPr>
        <w:widowControl w:val="0"/>
        <w:spacing w:line="360" w:lineRule="auto"/>
        <w:ind w:firstLine="851"/>
        <w:contextualSpacing/>
        <w:rPr>
          <w:rFonts w:ascii="Times New Roman" w:eastAsia="Calibri" w:hAnsi="Times New Roman"/>
          <w:sz w:val="24"/>
          <w:szCs w:val="24"/>
          <w:lang w:eastAsia="en-US"/>
        </w:rPr>
      </w:pPr>
      <w:r w:rsidRPr="00314167">
        <w:rPr>
          <w:rFonts w:ascii="Times New Roman" w:eastAsia="Calibri" w:hAnsi="Times New Roman"/>
          <w:sz w:val="24"/>
          <w:szCs w:val="24"/>
          <w:lang w:eastAsia="en-US"/>
        </w:rPr>
        <w:t>Vertinti nereikia.</w:t>
      </w:r>
    </w:p>
    <w:p w:rsidR="00314167" w:rsidRPr="00314167" w:rsidRDefault="00314167" w:rsidP="00F9743A">
      <w:pPr>
        <w:widowControl w:val="0"/>
        <w:numPr>
          <w:ilvl w:val="0"/>
          <w:numId w:val="1"/>
        </w:numPr>
        <w:tabs>
          <w:tab w:val="left" w:pos="0"/>
          <w:tab w:val="left" w:pos="1134"/>
          <w:tab w:val="left" w:pos="1418"/>
        </w:tabs>
        <w:spacing w:line="360" w:lineRule="auto"/>
        <w:ind w:left="0" w:firstLine="851"/>
        <w:jc w:val="both"/>
        <w:rPr>
          <w:rFonts w:ascii="Times New Roman" w:hAnsi="Times New Roman"/>
          <w:b/>
          <w:sz w:val="24"/>
          <w:szCs w:val="24"/>
          <w:lang w:eastAsia="en-US"/>
        </w:rPr>
      </w:pPr>
      <w:r w:rsidRPr="00314167">
        <w:rPr>
          <w:rFonts w:ascii="Times New Roman" w:hAnsi="Times New Roman"/>
          <w:b/>
          <w:sz w:val="24"/>
          <w:szCs w:val="24"/>
          <w:lang w:eastAsia="en-US"/>
        </w:rPr>
        <w:t>Kiti, sprendimo iniciatorių nuomone, reikalingi pagrindimai ir paaiškinimai.</w:t>
      </w:r>
    </w:p>
    <w:p w:rsidR="00314167" w:rsidRPr="00314167" w:rsidRDefault="00314167" w:rsidP="00314167">
      <w:pPr>
        <w:widowControl w:val="0"/>
        <w:tabs>
          <w:tab w:val="left" w:pos="1134"/>
        </w:tabs>
        <w:spacing w:line="360" w:lineRule="auto"/>
        <w:ind w:firstLine="851"/>
        <w:contextualSpacing/>
        <w:jc w:val="both"/>
        <w:rPr>
          <w:rFonts w:ascii="Times New Roman" w:eastAsia="Calibri" w:hAnsi="Times New Roman"/>
          <w:spacing w:val="-2"/>
          <w:sz w:val="24"/>
          <w:szCs w:val="24"/>
          <w:lang w:eastAsia="en-US"/>
        </w:rPr>
      </w:pPr>
      <w:r w:rsidRPr="00314167">
        <w:rPr>
          <w:rFonts w:ascii="Times New Roman" w:eastAsia="Calibri" w:hAnsi="Times New Roman"/>
          <w:spacing w:val="-2"/>
          <w:sz w:val="24"/>
          <w:szCs w:val="24"/>
          <w:lang w:eastAsia="en-US"/>
        </w:rPr>
        <w:t>Ypatingas dėmesys 2017 m. biudžete skiriamas seniūnijoms – jų biudžetas palyginti su 2016 m., padidėja 20,8 proc.</w:t>
      </w:r>
    </w:p>
    <w:p w:rsidR="00314167" w:rsidRPr="00314167" w:rsidRDefault="00314167" w:rsidP="00314167">
      <w:pPr>
        <w:widowControl w:val="0"/>
        <w:tabs>
          <w:tab w:val="left" w:pos="1134"/>
        </w:tabs>
        <w:spacing w:line="360" w:lineRule="auto"/>
        <w:ind w:firstLine="851"/>
        <w:contextualSpacing/>
        <w:jc w:val="both"/>
        <w:rPr>
          <w:rFonts w:ascii="Times New Roman" w:eastAsia="Calibri" w:hAnsi="Times New Roman"/>
          <w:spacing w:val="-2"/>
          <w:sz w:val="24"/>
          <w:szCs w:val="24"/>
          <w:lang w:eastAsia="en-US"/>
        </w:rPr>
      </w:pPr>
      <w:r w:rsidRPr="00314167">
        <w:rPr>
          <w:rFonts w:ascii="Times New Roman" w:eastAsia="Calibri" w:hAnsi="Times New Roman"/>
          <w:spacing w:val="-2"/>
          <w:sz w:val="24"/>
          <w:szCs w:val="24"/>
          <w:lang w:eastAsia="en-US"/>
        </w:rPr>
        <w:t xml:space="preserve">Didžiausias dėmesys bus skiriamas mokyklų materialinei bazei gerinti (Domeikavos gimnazijos priestatui statyti iš paskolos skiriama 778,6 tūkst. Eur, iš VIP per Kultūros ministeriją – 190,0 tūkst. Eur, Piliuonos gimnazijos rekonstrukcijai iš Savivaldybės biudžeto skiriama 300,0 tūkst. Eur, Ugnės Karvelis gimnazijos liftui įrengti skiriama 145,0 tūkst. Eur, Jonučių progimnazijos sporto salei remontuoti – 130,0 tūkst. Eur, Zapyškio pagrindinės mokyklos sporto salei remontuoti – 100,0 tūkst. Eur, Vilkijos gimnazijos bibliotekai įrengti – 43,8 tūkst. Eur). </w:t>
      </w:r>
    </w:p>
    <w:p w:rsidR="00314167" w:rsidRPr="00314167" w:rsidRDefault="00314167" w:rsidP="00314167">
      <w:pPr>
        <w:widowControl w:val="0"/>
        <w:tabs>
          <w:tab w:val="left" w:pos="1134"/>
        </w:tabs>
        <w:spacing w:line="360" w:lineRule="auto"/>
        <w:ind w:firstLine="851"/>
        <w:contextualSpacing/>
        <w:jc w:val="both"/>
        <w:rPr>
          <w:rFonts w:ascii="Times New Roman" w:eastAsia="Calibri" w:hAnsi="Times New Roman"/>
          <w:spacing w:val="-2"/>
          <w:sz w:val="24"/>
          <w:szCs w:val="24"/>
          <w:lang w:eastAsia="en-US"/>
        </w:rPr>
      </w:pPr>
      <w:r w:rsidRPr="00314167">
        <w:rPr>
          <w:rFonts w:ascii="Times New Roman" w:eastAsia="Calibri" w:hAnsi="Times New Roman"/>
          <w:spacing w:val="-2"/>
          <w:sz w:val="24"/>
          <w:szCs w:val="24"/>
          <w:lang w:eastAsia="en-US"/>
        </w:rPr>
        <w:t xml:space="preserve">Į biudžetą įtrauktas darbo užmokestis visoms įstaigoms 12 mėn. Jis sudaro </w:t>
      </w:r>
      <w:r w:rsidRPr="00314167">
        <w:rPr>
          <w:rFonts w:ascii="Times New Roman" w:eastAsia="Calibri" w:hAnsi="Times New Roman"/>
          <w:spacing w:val="-2"/>
          <w:sz w:val="24"/>
          <w:szCs w:val="24"/>
          <w:lang w:eastAsia="en-US"/>
        </w:rPr>
        <w:br/>
        <w:t xml:space="preserve">12 159,0 tūkst. Eur ir lyginant su 2016 m. didėja 1 309,5 tūkst. Eur arba 12,1 proc. </w:t>
      </w:r>
    </w:p>
    <w:p w:rsidR="00314167" w:rsidRPr="00314167" w:rsidRDefault="00314167" w:rsidP="00314167">
      <w:pPr>
        <w:widowControl w:val="0"/>
        <w:tabs>
          <w:tab w:val="left" w:pos="1134"/>
        </w:tabs>
        <w:spacing w:line="360" w:lineRule="auto"/>
        <w:ind w:firstLine="851"/>
        <w:contextualSpacing/>
        <w:jc w:val="both"/>
        <w:rPr>
          <w:rFonts w:ascii="Times New Roman" w:eastAsia="Calibri" w:hAnsi="Times New Roman"/>
          <w:spacing w:val="-6"/>
          <w:sz w:val="24"/>
          <w:szCs w:val="24"/>
          <w:lang w:eastAsia="en-US"/>
        </w:rPr>
      </w:pPr>
      <w:r w:rsidRPr="00314167">
        <w:rPr>
          <w:rFonts w:ascii="Times New Roman" w:eastAsia="Calibri" w:hAnsi="Times New Roman"/>
          <w:spacing w:val="-6"/>
          <w:sz w:val="24"/>
          <w:szCs w:val="24"/>
          <w:lang w:eastAsia="en-US"/>
        </w:rPr>
        <w:t>Investiciniams projektams finansuoti skiriama 2 200,0 tūkst. Eur, naujų investicinių projektų techninei dokumentacijai rengti (investiciniai projektai privalės turėti techninį pagrindimą) – 300,0 tūkst. Eur. Bus tęsiama Savivaldybės administracinio pastato rekonstrukcija.</w:t>
      </w:r>
    </w:p>
    <w:p w:rsidR="00314167" w:rsidRDefault="00314167" w:rsidP="00314167">
      <w:pPr>
        <w:widowControl w:val="0"/>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Kauno rajono savivaldybės 2017 m. biudžeto planuojamos pajamos – </w:t>
      </w:r>
      <w:r>
        <w:rPr>
          <w:rFonts w:ascii="Times New Roman" w:hAnsi="Times New Roman"/>
          <w:sz w:val="24"/>
          <w:szCs w:val="24"/>
        </w:rPr>
        <w:br/>
      </w:r>
      <w:r w:rsidRPr="00314167">
        <w:rPr>
          <w:rFonts w:ascii="Times New Roman" w:hAnsi="Times New Roman"/>
          <w:sz w:val="24"/>
          <w:szCs w:val="24"/>
        </w:rPr>
        <w:t xml:space="preserve">59 808,7 tūkst. Eur. </w:t>
      </w:r>
    </w:p>
    <w:p w:rsidR="00314167" w:rsidRPr="00314167" w:rsidRDefault="00314167" w:rsidP="00314167">
      <w:pPr>
        <w:widowControl w:val="0"/>
        <w:spacing w:line="360" w:lineRule="auto"/>
        <w:ind w:firstLine="851"/>
        <w:jc w:val="both"/>
        <w:rPr>
          <w:rFonts w:ascii="Times New Roman" w:hAnsi="Times New Roman"/>
          <w:i/>
          <w:sz w:val="24"/>
          <w:szCs w:val="24"/>
          <w:u w:val="single"/>
        </w:rPr>
      </w:pPr>
      <w:r w:rsidRPr="00314167">
        <w:rPr>
          <w:rFonts w:ascii="Times New Roman" w:hAnsi="Times New Roman"/>
          <w:i/>
          <w:sz w:val="24"/>
          <w:szCs w:val="24"/>
          <w:u w:val="single"/>
        </w:rPr>
        <w:t>Pajamos</w:t>
      </w:r>
    </w:p>
    <w:p w:rsidR="00314167" w:rsidRPr="00314167" w:rsidRDefault="00314167" w:rsidP="00314167">
      <w:pPr>
        <w:widowControl w:val="0"/>
        <w:spacing w:line="360" w:lineRule="auto"/>
        <w:ind w:firstLine="851"/>
        <w:jc w:val="both"/>
        <w:rPr>
          <w:rFonts w:ascii="Times New Roman" w:hAnsi="Times New Roman"/>
          <w:color w:val="000000"/>
          <w:spacing w:val="-1"/>
          <w:sz w:val="24"/>
          <w:szCs w:val="24"/>
        </w:rPr>
      </w:pPr>
      <w:r w:rsidRPr="00314167">
        <w:rPr>
          <w:rFonts w:ascii="Times New Roman" w:hAnsi="Times New Roman"/>
          <w:sz w:val="24"/>
          <w:szCs w:val="24"/>
        </w:rPr>
        <w:t>Kauno rajono savivaldybė 2017 m. planuoja pajamas pagal pajamų šaltinius:</w:t>
      </w:r>
    </w:p>
    <w:p w:rsidR="00314167" w:rsidRPr="00314167" w:rsidRDefault="00314167" w:rsidP="00314167">
      <w:pPr>
        <w:widowControl w:val="0"/>
        <w:spacing w:line="360" w:lineRule="auto"/>
        <w:ind w:firstLine="851"/>
        <w:jc w:val="both"/>
        <w:rPr>
          <w:rFonts w:ascii="Times New Roman" w:hAnsi="Times New Roman"/>
          <w:b/>
          <w:sz w:val="24"/>
          <w:szCs w:val="24"/>
        </w:rPr>
      </w:pPr>
      <w:r w:rsidRPr="00314167">
        <w:rPr>
          <w:rFonts w:ascii="Times New Roman" w:hAnsi="Times New Roman"/>
          <w:b/>
          <w:sz w:val="24"/>
          <w:szCs w:val="24"/>
        </w:rPr>
        <w:t>1. Specialios tikslinės dotacijos iš valstybės biudžeto – 20 164,7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1.1. Mokinio krepšeliui finansuoti – 15 980,4 tūkst. Eur;</w:t>
      </w:r>
    </w:p>
    <w:p w:rsidR="00314167" w:rsidRPr="00314167" w:rsidRDefault="00314167" w:rsidP="00314167">
      <w:pPr>
        <w:widowControl w:val="0"/>
        <w:spacing w:line="360" w:lineRule="auto"/>
        <w:ind w:firstLine="1134"/>
        <w:jc w:val="both"/>
        <w:rPr>
          <w:rFonts w:ascii="Times New Roman" w:hAnsi="Times New Roman"/>
          <w:spacing w:val="-6"/>
          <w:sz w:val="24"/>
          <w:szCs w:val="24"/>
        </w:rPr>
      </w:pPr>
      <w:r w:rsidRPr="00314167">
        <w:rPr>
          <w:rFonts w:ascii="Times New Roman" w:hAnsi="Times New Roman"/>
          <w:spacing w:val="-6"/>
          <w:sz w:val="24"/>
          <w:szCs w:val="24"/>
        </w:rPr>
        <w:t>1.2. Valstybinėms (perduotoms savivaldybėms) funkcijoms atlikti – 3 739,4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1.3. Perduotoms iš apskričių įstaigoms išlaikyti – 45,9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1.4. Lėšos Valstybės investicijų programoje numatytiems projektams finansuoti – 190,0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1.5. Bendrosios dotacijos kompensacija (valstybės tarnautojams 15 proc. apskaičiuoto grąžintino neišmokėto darbo užmokesčio dalis) – 24,0 tūkst. Eur;</w:t>
      </w:r>
    </w:p>
    <w:p w:rsidR="00314167" w:rsidRPr="00314167" w:rsidRDefault="00314167" w:rsidP="00314167">
      <w:pPr>
        <w:widowControl w:val="0"/>
        <w:spacing w:line="360" w:lineRule="auto"/>
        <w:ind w:firstLine="851"/>
        <w:jc w:val="both"/>
        <w:rPr>
          <w:rFonts w:ascii="Times New Roman" w:hAnsi="Times New Roman"/>
          <w:sz w:val="24"/>
          <w:szCs w:val="24"/>
          <w:lang w:val="en-US"/>
        </w:rPr>
      </w:pPr>
      <w:r w:rsidRPr="00314167">
        <w:rPr>
          <w:rFonts w:ascii="Times New Roman" w:hAnsi="Times New Roman"/>
          <w:sz w:val="24"/>
          <w:szCs w:val="24"/>
        </w:rPr>
        <w:t>1.6. Kitos dotacijos ir lėšos iš kitų valdymo lygių (neformaliam švietimui organizuoti) – 185,0 tūkst. Eur.</w:t>
      </w:r>
    </w:p>
    <w:p w:rsidR="00314167" w:rsidRPr="00314167" w:rsidRDefault="00314167" w:rsidP="00314167">
      <w:pPr>
        <w:widowControl w:val="0"/>
        <w:spacing w:line="360" w:lineRule="auto"/>
        <w:ind w:firstLine="851"/>
        <w:jc w:val="both"/>
        <w:rPr>
          <w:rFonts w:ascii="Times New Roman" w:hAnsi="Times New Roman"/>
          <w:b/>
          <w:sz w:val="24"/>
          <w:szCs w:val="24"/>
        </w:rPr>
      </w:pPr>
      <w:r w:rsidRPr="00314167">
        <w:rPr>
          <w:rFonts w:ascii="Times New Roman" w:hAnsi="Times New Roman"/>
          <w:b/>
          <w:sz w:val="24"/>
          <w:szCs w:val="24"/>
        </w:rPr>
        <w:t>2. Pajamos iš mokesčių – 36 976,5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2.1. Gyventojų pajamų mokestis – 34 057,0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lastRenderedPageBreak/>
        <w:t>2.2. Turto mokesčiai – 1 720,0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2.2.1. Žemės mokestis – 800,0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2.2.2. Paveldimo turto mokestis – 50,0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2.2.3. Nekilnojamo turto mokestis – 870,0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2.3. Prekių ir paslaugų mokesčiai – 1 199,5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2.3.1. Mokestis už aplinkos taršą (SAARS) – 109,5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2.3.2. Valstybės rinkliavos – 140,0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2.3.3. Vietinės rinkliavos – 950,0 tūkst. Eur.</w:t>
      </w:r>
    </w:p>
    <w:p w:rsidR="00314167" w:rsidRPr="00314167" w:rsidRDefault="00314167" w:rsidP="00314167">
      <w:pPr>
        <w:widowControl w:val="0"/>
        <w:spacing w:line="360" w:lineRule="auto"/>
        <w:ind w:firstLine="851"/>
        <w:jc w:val="both"/>
        <w:rPr>
          <w:rFonts w:ascii="Times New Roman" w:hAnsi="Times New Roman"/>
          <w:sz w:val="24"/>
          <w:szCs w:val="24"/>
        </w:rPr>
      </w:pPr>
      <w:r w:rsidRPr="00314167">
        <w:rPr>
          <w:rFonts w:ascii="Times New Roman" w:hAnsi="Times New Roman"/>
          <w:b/>
          <w:sz w:val="24"/>
          <w:szCs w:val="24"/>
        </w:rPr>
        <w:t>3. Kitos pajamos – 2 417,5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3.1. Nuomos mokestis už valstybinę žemę ir valstybinio vidaus vandenų fondo vandens telkinius – 270,0 tūkst. Eur;</w:t>
      </w:r>
    </w:p>
    <w:p w:rsidR="00314167" w:rsidRPr="00314167" w:rsidRDefault="00314167" w:rsidP="00314167">
      <w:pPr>
        <w:widowControl w:val="0"/>
        <w:spacing w:line="360" w:lineRule="auto"/>
        <w:ind w:firstLine="1134"/>
        <w:rPr>
          <w:rFonts w:ascii="Times New Roman" w:hAnsi="Times New Roman"/>
          <w:sz w:val="24"/>
          <w:szCs w:val="24"/>
        </w:rPr>
      </w:pPr>
      <w:r w:rsidRPr="00314167">
        <w:rPr>
          <w:rFonts w:ascii="Times New Roman" w:hAnsi="Times New Roman"/>
          <w:sz w:val="24"/>
          <w:szCs w:val="24"/>
        </w:rPr>
        <w:t>3.2. Mokestis už medžiojamųjų gyvūnų išteklius (SAARS) – 17,5 tūkst. Eur;</w:t>
      </w:r>
    </w:p>
    <w:p w:rsidR="00314167" w:rsidRPr="00314167" w:rsidRDefault="00314167" w:rsidP="00314167">
      <w:pPr>
        <w:widowControl w:val="0"/>
        <w:spacing w:line="360" w:lineRule="auto"/>
        <w:ind w:firstLine="1134"/>
        <w:rPr>
          <w:rFonts w:ascii="Times New Roman" w:hAnsi="Times New Roman"/>
          <w:sz w:val="24"/>
          <w:szCs w:val="24"/>
        </w:rPr>
      </w:pPr>
      <w:r w:rsidRPr="00314167">
        <w:rPr>
          <w:rFonts w:ascii="Times New Roman" w:hAnsi="Times New Roman"/>
          <w:sz w:val="24"/>
          <w:szCs w:val="24"/>
        </w:rPr>
        <w:t>3.3. Kiti mokesčiai už valstybinius gamtos išteklius (SAARS) – 113,0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3.4. Pajamos už patalpų nuomą (biudžetinių įstaigų pajamos) – 217,7 tūkst. Eur;</w:t>
      </w:r>
    </w:p>
    <w:p w:rsidR="00314167" w:rsidRPr="00314167" w:rsidRDefault="00314167" w:rsidP="00314167">
      <w:pPr>
        <w:widowControl w:val="0"/>
        <w:spacing w:line="360" w:lineRule="auto"/>
        <w:ind w:firstLine="1134"/>
        <w:jc w:val="both"/>
        <w:rPr>
          <w:rFonts w:ascii="Times New Roman" w:hAnsi="Times New Roman"/>
          <w:spacing w:val="-6"/>
          <w:sz w:val="24"/>
          <w:szCs w:val="24"/>
        </w:rPr>
      </w:pPr>
      <w:r w:rsidRPr="00314167">
        <w:rPr>
          <w:rFonts w:ascii="Times New Roman" w:hAnsi="Times New Roman"/>
          <w:spacing w:val="-6"/>
          <w:sz w:val="24"/>
          <w:szCs w:val="24"/>
        </w:rPr>
        <w:t>3.5. Pajamos už  atsitiktines paslaugas (biudžetinių įstaigų pajamos) – 234,4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3.6. Įmokos už išlaikymą švietimo, socialinės apsaugos ir kitose įstaigose (biudžetinių įstaigų pajamos) – 1 533,9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3.7. Pajamos iš baudų ir konfiskacijos – 30,0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3.8. Palūkanos už depozitus – 1,0 tūkst. Eur.</w:t>
      </w:r>
    </w:p>
    <w:p w:rsidR="00314167" w:rsidRPr="00314167" w:rsidRDefault="00314167" w:rsidP="00314167">
      <w:pPr>
        <w:widowControl w:val="0"/>
        <w:spacing w:line="360" w:lineRule="auto"/>
        <w:ind w:firstLine="851"/>
        <w:jc w:val="both"/>
        <w:rPr>
          <w:rFonts w:ascii="Times New Roman" w:hAnsi="Times New Roman"/>
          <w:b/>
          <w:spacing w:val="-6"/>
          <w:sz w:val="24"/>
          <w:szCs w:val="24"/>
        </w:rPr>
      </w:pPr>
      <w:r w:rsidRPr="00314167">
        <w:rPr>
          <w:rFonts w:ascii="Times New Roman" w:hAnsi="Times New Roman"/>
          <w:b/>
          <w:spacing w:val="-6"/>
          <w:sz w:val="24"/>
          <w:szCs w:val="24"/>
        </w:rPr>
        <w:t>4. Materialiojo ir nematerialiojo turto realizavimo pajamos – 250,0 tūkst. Eur,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4.1. Žemė – 50,0 tūkst. Eur;</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t>4.2. Pastatų ir statinių realizavimo pajamos – 200,0 tūkst. Eur.</w:t>
      </w:r>
    </w:p>
    <w:p w:rsidR="00314167" w:rsidRPr="00314167" w:rsidRDefault="00314167" w:rsidP="00314167">
      <w:pPr>
        <w:widowControl w:val="0"/>
        <w:spacing w:line="360" w:lineRule="auto"/>
        <w:ind w:firstLine="720"/>
        <w:jc w:val="both"/>
        <w:rPr>
          <w:rFonts w:ascii="Times New Roman" w:hAnsi="Times New Roman"/>
          <w:spacing w:val="-6"/>
          <w:sz w:val="24"/>
          <w:szCs w:val="24"/>
        </w:rPr>
      </w:pPr>
      <w:r w:rsidRPr="00314167">
        <w:rPr>
          <w:rFonts w:ascii="Times New Roman" w:hAnsi="Times New Roman"/>
          <w:spacing w:val="-6"/>
          <w:sz w:val="24"/>
          <w:szCs w:val="24"/>
        </w:rPr>
        <w:t>Visos Kauno rajono savivaldybės pajamos 2017 m. sudarys 59 808,7 tūkst. Eur (1 priedas).</w:t>
      </w:r>
    </w:p>
    <w:p w:rsidR="00314167" w:rsidRPr="00314167" w:rsidRDefault="00314167" w:rsidP="00314167">
      <w:pPr>
        <w:widowControl w:val="0"/>
        <w:jc w:val="center"/>
        <w:rPr>
          <w:rFonts w:ascii="Times New Roman" w:hAnsi="Times New Roman"/>
          <w:b/>
          <w:sz w:val="24"/>
          <w:szCs w:val="24"/>
        </w:rPr>
      </w:pPr>
      <w:r w:rsidRPr="00314167">
        <w:rPr>
          <w:rFonts w:ascii="Times New Roman" w:hAnsi="Times New Roman"/>
          <w:b/>
          <w:sz w:val="24"/>
          <w:szCs w:val="24"/>
        </w:rPr>
        <w:t>Kauno rajono savivaldybės 2017 m. biudžeto pajamų struktūra, proc.</w:t>
      </w:r>
    </w:p>
    <w:p w:rsidR="00314167" w:rsidRPr="00314167" w:rsidRDefault="00314167" w:rsidP="00314167">
      <w:pPr>
        <w:jc w:val="center"/>
        <w:rPr>
          <w:rFonts w:ascii="Times New Roman" w:hAnsi="Times New Roman"/>
          <w:b/>
          <w:sz w:val="24"/>
          <w:szCs w:val="24"/>
        </w:rPr>
      </w:pPr>
    </w:p>
    <w:p w:rsidR="00314167" w:rsidRPr="00314167" w:rsidRDefault="00314167" w:rsidP="00314167">
      <w:pPr>
        <w:jc w:val="center"/>
        <w:rPr>
          <w:rFonts w:ascii="Times New Roman" w:hAnsi="Times New Roman"/>
          <w:b/>
          <w:sz w:val="24"/>
          <w:szCs w:val="24"/>
        </w:rPr>
      </w:pPr>
      <w:r w:rsidRPr="00314167">
        <w:rPr>
          <w:noProof/>
        </w:rPr>
        <w:drawing>
          <wp:inline distT="0" distB="0" distL="0" distR="0" wp14:anchorId="358A7B71" wp14:editId="1CAE780B">
            <wp:extent cx="6051550" cy="2178050"/>
            <wp:effectExtent l="0" t="0" r="6350" b="0"/>
            <wp:docPr id="2" name="Diagrama 2">
              <a:extLst xmlns:a="http://schemas.openxmlformats.org/drawingml/2006/main">
                <a:ext uri="{FF2B5EF4-FFF2-40B4-BE49-F238E27FC236}">
                  <a16:creationId xmlns:a16="http://schemas.microsoft.com/office/drawing/2014/main" id="{4F00557C-3C93-4532-AD33-82605083E5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4167" w:rsidRPr="00314167" w:rsidRDefault="00314167" w:rsidP="00314167">
      <w:pPr>
        <w:tabs>
          <w:tab w:val="left" w:pos="1134"/>
        </w:tabs>
        <w:spacing w:line="360" w:lineRule="auto"/>
        <w:ind w:left="851"/>
        <w:jc w:val="center"/>
        <w:rPr>
          <w:rFonts w:ascii="Times New Roman" w:hAnsi="Times New Roman"/>
          <w:sz w:val="24"/>
          <w:szCs w:val="24"/>
          <w:u w:val="single"/>
          <w:lang w:eastAsia="en-US"/>
        </w:rPr>
      </w:pPr>
    </w:p>
    <w:p w:rsidR="00314167" w:rsidRDefault="00314167" w:rsidP="00314167">
      <w:pPr>
        <w:spacing w:line="360" w:lineRule="auto"/>
        <w:jc w:val="center"/>
        <w:rPr>
          <w:rFonts w:ascii="Times New Roman" w:hAnsi="Times New Roman"/>
          <w:b/>
          <w:color w:val="000000"/>
          <w:spacing w:val="-1"/>
          <w:sz w:val="24"/>
          <w:szCs w:val="24"/>
        </w:rPr>
      </w:pPr>
    </w:p>
    <w:p w:rsidR="00314167" w:rsidRPr="00314167" w:rsidRDefault="00314167" w:rsidP="00314167">
      <w:pPr>
        <w:spacing w:line="360" w:lineRule="auto"/>
        <w:jc w:val="center"/>
        <w:rPr>
          <w:rFonts w:ascii="Times New Roman" w:hAnsi="Times New Roman"/>
          <w:b/>
          <w:color w:val="000000"/>
          <w:spacing w:val="-1"/>
          <w:sz w:val="24"/>
          <w:szCs w:val="24"/>
        </w:rPr>
      </w:pPr>
      <w:r w:rsidRPr="00314167">
        <w:rPr>
          <w:rFonts w:ascii="Times New Roman" w:hAnsi="Times New Roman"/>
          <w:b/>
          <w:color w:val="000000"/>
          <w:spacing w:val="-1"/>
          <w:sz w:val="24"/>
          <w:szCs w:val="24"/>
        </w:rPr>
        <w:lastRenderedPageBreak/>
        <w:t>Kauno rajono savivaldybės 2016 ir 2017 m. pajamų planų palyginimas, tūkst. Eur</w:t>
      </w:r>
    </w:p>
    <w:tbl>
      <w:tblPr>
        <w:tblpPr w:leftFromText="180" w:rightFromText="180" w:vertAnchor="text" w:horzAnchor="margin" w:tblpXSpec="center" w:tblpY="122"/>
        <w:tblW w:w="9606" w:type="dxa"/>
        <w:tblLook w:val="04A0" w:firstRow="1" w:lastRow="0" w:firstColumn="1" w:lastColumn="0" w:noHBand="0" w:noVBand="1"/>
      </w:tblPr>
      <w:tblGrid>
        <w:gridCol w:w="1339"/>
        <w:gridCol w:w="4473"/>
        <w:gridCol w:w="1276"/>
        <w:gridCol w:w="1276"/>
        <w:gridCol w:w="1242"/>
      </w:tblGrid>
      <w:tr w:rsidR="00314167" w:rsidRPr="00314167" w:rsidTr="00F87BA3">
        <w:trPr>
          <w:trHeight w:val="1035"/>
        </w:trPr>
        <w:tc>
          <w:tcPr>
            <w:tcW w:w="1339" w:type="dxa"/>
            <w:tcBorders>
              <w:top w:val="single" w:sz="8" w:space="0" w:color="auto"/>
              <w:left w:val="single" w:sz="8" w:space="0" w:color="auto"/>
              <w:bottom w:val="single" w:sz="8" w:space="0" w:color="auto"/>
              <w:right w:val="nil"/>
            </w:tcBorders>
            <w:shd w:val="clear" w:color="auto" w:fill="auto"/>
            <w:vAlign w:val="center"/>
            <w:hideMark/>
          </w:tcPr>
          <w:p w:rsidR="00314167" w:rsidRPr="00314167" w:rsidRDefault="00314167" w:rsidP="00314167">
            <w:pPr>
              <w:jc w:val="center"/>
              <w:rPr>
                <w:rFonts w:ascii="Times New Roman" w:hAnsi="Times New Roman"/>
                <w:b/>
                <w:bCs/>
                <w:sz w:val="20"/>
              </w:rPr>
            </w:pPr>
            <w:r w:rsidRPr="00314167">
              <w:rPr>
                <w:rFonts w:ascii="Times New Roman" w:hAnsi="Times New Roman"/>
                <w:b/>
                <w:bCs/>
                <w:sz w:val="20"/>
              </w:rPr>
              <w:t>Pajamų ekonominės klasifikacijos kodas</w:t>
            </w:r>
          </w:p>
        </w:tc>
        <w:tc>
          <w:tcPr>
            <w:tcW w:w="44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4167" w:rsidRPr="00314167" w:rsidRDefault="00314167" w:rsidP="00314167">
            <w:pPr>
              <w:jc w:val="center"/>
              <w:rPr>
                <w:rFonts w:ascii="Times New Roman" w:hAnsi="Times New Roman"/>
                <w:b/>
                <w:bCs/>
                <w:sz w:val="20"/>
              </w:rPr>
            </w:pPr>
            <w:r w:rsidRPr="00314167">
              <w:rPr>
                <w:rFonts w:ascii="Times New Roman" w:hAnsi="Times New Roman"/>
                <w:b/>
                <w:bCs/>
                <w:sz w:val="20"/>
              </w:rPr>
              <w:t>Pajamų pavadinimas</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4167" w:rsidRPr="00314167" w:rsidRDefault="00314167" w:rsidP="00314167">
            <w:pPr>
              <w:jc w:val="center"/>
              <w:rPr>
                <w:rFonts w:ascii="Times New Roman" w:hAnsi="Times New Roman"/>
                <w:b/>
                <w:bCs/>
                <w:sz w:val="20"/>
              </w:rPr>
            </w:pPr>
            <w:r w:rsidRPr="00314167">
              <w:rPr>
                <w:rFonts w:ascii="Times New Roman" w:hAnsi="Times New Roman"/>
                <w:b/>
                <w:bCs/>
                <w:sz w:val="20"/>
              </w:rPr>
              <w:t xml:space="preserve">2016 metų </w:t>
            </w:r>
            <w:r w:rsidRPr="00314167">
              <w:rPr>
                <w:rFonts w:ascii="Times New Roman" w:hAnsi="Times New Roman"/>
                <w:b/>
                <w:bCs/>
                <w:sz w:val="20"/>
              </w:rPr>
              <w:br/>
              <w:t>planas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314167" w:rsidRPr="00314167" w:rsidRDefault="00314167" w:rsidP="00314167">
            <w:pPr>
              <w:jc w:val="center"/>
              <w:rPr>
                <w:rFonts w:ascii="Times New Roman" w:hAnsi="Times New Roman"/>
                <w:b/>
                <w:bCs/>
                <w:sz w:val="20"/>
              </w:rPr>
            </w:pPr>
            <w:r w:rsidRPr="00314167">
              <w:rPr>
                <w:rFonts w:ascii="Times New Roman" w:hAnsi="Times New Roman"/>
                <w:b/>
                <w:bCs/>
                <w:sz w:val="20"/>
              </w:rPr>
              <w:t xml:space="preserve">2017 metų </w:t>
            </w:r>
            <w:r w:rsidRPr="00314167">
              <w:rPr>
                <w:rFonts w:ascii="Times New Roman" w:hAnsi="Times New Roman"/>
                <w:b/>
                <w:bCs/>
                <w:sz w:val="20"/>
              </w:rPr>
              <w:br/>
              <w:t>planas</w:t>
            </w:r>
          </w:p>
        </w:tc>
        <w:tc>
          <w:tcPr>
            <w:tcW w:w="1242" w:type="dxa"/>
            <w:tcBorders>
              <w:top w:val="single" w:sz="8" w:space="0" w:color="auto"/>
              <w:left w:val="nil"/>
              <w:bottom w:val="single" w:sz="8" w:space="0" w:color="auto"/>
              <w:right w:val="single" w:sz="8" w:space="0" w:color="auto"/>
            </w:tcBorders>
            <w:shd w:val="clear" w:color="auto" w:fill="auto"/>
            <w:vAlign w:val="center"/>
            <w:hideMark/>
          </w:tcPr>
          <w:p w:rsidR="00314167" w:rsidRPr="00314167" w:rsidRDefault="00314167" w:rsidP="00314167">
            <w:pPr>
              <w:jc w:val="center"/>
              <w:rPr>
                <w:rFonts w:ascii="Times New Roman" w:hAnsi="Times New Roman"/>
                <w:b/>
                <w:bCs/>
                <w:sz w:val="20"/>
              </w:rPr>
            </w:pPr>
            <w:r w:rsidRPr="00314167">
              <w:rPr>
                <w:rFonts w:ascii="Times New Roman" w:hAnsi="Times New Roman"/>
                <w:b/>
                <w:bCs/>
                <w:sz w:val="20"/>
              </w:rPr>
              <w:t>Skirtumas 2017–2016, proc.</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PAJAMOS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14167" w:rsidRPr="00314167" w:rsidRDefault="00314167" w:rsidP="00314167">
            <w:pPr>
              <w:rPr>
                <w:rFonts w:ascii="Times New Roman" w:hAnsi="Times New Roman"/>
                <w:sz w:val="16"/>
                <w:szCs w:val="16"/>
              </w:rPr>
            </w:pPr>
            <w:r w:rsidRPr="00314167">
              <w:rPr>
                <w:rFonts w:ascii="Times New Roman" w:hAnsi="Times New Roman"/>
                <w:sz w:val="16"/>
                <w:szCs w:val="16"/>
              </w:rPr>
              <w:t> </w:t>
            </w:r>
          </w:p>
        </w:tc>
        <w:tc>
          <w:tcPr>
            <w:tcW w:w="1242" w:type="dxa"/>
            <w:tcBorders>
              <w:top w:val="nil"/>
              <w:left w:val="nil"/>
              <w:bottom w:val="single" w:sz="4" w:space="0" w:color="auto"/>
              <w:right w:val="single" w:sz="8" w:space="0" w:color="auto"/>
            </w:tcBorders>
            <w:shd w:val="clear" w:color="auto" w:fill="auto"/>
            <w:noWrap/>
            <w:vAlign w:val="bottom"/>
            <w:hideMark/>
          </w:tcPr>
          <w:p w:rsidR="00314167" w:rsidRPr="00314167" w:rsidRDefault="00314167" w:rsidP="00314167">
            <w:pPr>
              <w:rPr>
                <w:rFonts w:ascii="Times New Roman" w:hAnsi="Times New Roman"/>
                <w:sz w:val="16"/>
                <w:szCs w:val="16"/>
              </w:rPr>
            </w:pPr>
            <w:r w:rsidRPr="00314167">
              <w:rPr>
                <w:rFonts w:ascii="Times New Roman" w:hAnsi="Times New Roman"/>
                <w:sz w:val="16"/>
                <w:szCs w:val="16"/>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Mokesčiai</w:t>
            </w:r>
          </w:p>
        </w:tc>
        <w:tc>
          <w:tcPr>
            <w:tcW w:w="1276" w:type="dxa"/>
            <w:tcBorders>
              <w:top w:val="nil"/>
              <w:left w:val="nil"/>
              <w:bottom w:val="single" w:sz="4" w:space="0" w:color="auto"/>
              <w:right w:val="nil"/>
            </w:tcBorders>
            <w:shd w:val="clear" w:color="auto" w:fill="auto"/>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33 503,5</w:t>
            </w:r>
          </w:p>
        </w:tc>
        <w:tc>
          <w:tcPr>
            <w:tcW w:w="1276" w:type="dxa"/>
            <w:tcBorders>
              <w:top w:val="nil"/>
              <w:left w:val="single" w:sz="8" w:space="0" w:color="auto"/>
              <w:bottom w:val="single" w:sz="4" w:space="0" w:color="auto"/>
              <w:right w:val="single" w:sz="8" w:space="0" w:color="auto"/>
            </w:tcBorders>
            <w:shd w:val="clear" w:color="auto" w:fill="auto"/>
            <w:noWrap/>
            <w:vAlign w:val="bottom"/>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36 976,5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10,4 %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Pajamų ir pelno mokesčiai </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30 635,0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34 057,0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11,2 %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Gyventojų pajamų mokestis, iš jų: </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30 635,0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34 057,0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11,2 %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1.1.1.1.1.1.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Gyventojų pajamų mokestis iš viso</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25 830,0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34 057,0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31,9 %</w:t>
            </w:r>
          </w:p>
        </w:tc>
      </w:tr>
      <w:tr w:rsidR="00314167" w:rsidRPr="00314167" w:rsidTr="00F87BA3">
        <w:trPr>
          <w:trHeight w:val="51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Gyventojų pajamų mokestis savivaldybių išlaidų struktūros skirtumams išlyginti</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4 805,0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-100,0 %</w:t>
            </w:r>
          </w:p>
        </w:tc>
      </w:tr>
      <w:tr w:rsidR="00314167" w:rsidRPr="00314167" w:rsidTr="00F87BA3">
        <w:trPr>
          <w:trHeight w:val="51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Gyventojų pajamų mokestis savivaldybių pajamoms iš gyventojų pajamų mokesčio išlyginti</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1.1.3.</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Turto mokesčiai, iš jų:</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1 603,0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1720,0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7,3 %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1.1.3.1.1.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Žemės mokestis </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700,0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800,0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14,3 %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1.1.3.2.1.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Paveldimo turto mokestis </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33,0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51,5 %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1.1.3.3.1.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Nekilnojamojo turto mokestis </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870,0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870,0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1.1.4.</w:t>
            </w:r>
          </w:p>
        </w:tc>
        <w:tc>
          <w:tcPr>
            <w:tcW w:w="4473"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Prekių ir paslaugų mokesčiai, iš jų:</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1 265,5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1 199,5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-5,2 %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1.1.4.7.1.1.</w:t>
            </w:r>
          </w:p>
        </w:tc>
        <w:tc>
          <w:tcPr>
            <w:tcW w:w="4473"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Mokesčiai už aplinkos teršimą</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77,5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109,5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41,3 %</w:t>
            </w:r>
          </w:p>
        </w:tc>
      </w:tr>
      <w:tr w:rsidR="00314167" w:rsidRPr="00314167" w:rsidTr="00F87BA3">
        <w:trPr>
          <w:trHeight w:val="22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1.1.4.7.2.1.</w:t>
            </w:r>
          </w:p>
        </w:tc>
        <w:tc>
          <w:tcPr>
            <w:tcW w:w="4473"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Valstybės rinkliavos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145,0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140,0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-3,4 %</w:t>
            </w:r>
          </w:p>
        </w:tc>
      </w:tr>
      <w:tr w:rsidR="00314167" w:rsidRPr="00314167" w:rsidTr="00F87BA3">
        <w:trPr>
          <w:trHeight w:val="22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1.1.4.7.2.2.</w:t>
            </w:r>
          </w:p>
        </w:tc>
        <w:tc>
          <w:tcPr>
            <w:tcW w:w="4473"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Vietinės rinkliavos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1 043,0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950,0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-8,9 %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1.3.</w:t>
            </w:r>
          </w:p>
        </w:tc>
        <w:tc>
          <w:tcPr>
            <w:tcW w:w="4473"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Dotacijos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19 062,5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20 164,7</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5,8 %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1.3.4.1.1.1.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Speciali tikslinė dotacija, iš jų:</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18 995,5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19 909,8</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4,8 %</w:t>
            </w:r>
          </w:p>
        </w:tc>
      </w:tr>
      <w:tr w:rsidR="00314167" w:rsidRPr="00314167" w:rsidTr="00F87BA3">
        <w:trPr>
          <w:trHeight w:val="27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4473" w:type="dxa"/>
            <w:tcBorders>
              <w:top w:val="nil"/>
              <w:left w:val="single" w:sz="8" w:space="0" w:color="auto"/>
              <w:bottom w:val="single" w:sz="4" w:space="0" w:color="auto"/>
              <w:right w:val="single" w:sz="8" w:space="0" w:color="auto"/>
            </w:tcBorders>
            <w:shd w:val="clear" w:color="auto" w:fill="auto"/>
            <w:vAlign w:val="bottom"/>
            <w:hideMark/>
          </w:tcPr>
          <w:p w:rsidR="00314167" w:rsidRPr="00314167" w:rsidRDefault="00314167" w:rsidP="00314167">
            <w:pPr>
              <w:rPr>
                <w:rFonts w:ascii="Times New Roman" w:hAnsi="Times New Roman"/>
                <w:sz w:val="20"/>
              </w:rPr>
            </w:pPr>
            <w:r w:rsidRPr="00314167">
              <w:rPr>
                <w:rFonts w:ascii="Times New Roman" w:hAnsi="Times New Roman"/>
                <w:sz w:val="20"/>
              </w:rPr>
              <w:t>Lėšos valstybinėms (perduotoms savivaldybėms) funkcijoms atlikti</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3 646,5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3 739,4</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2,5 %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4473" w:type="dxa"/>
            <w:tcBorders>
              <w:top w:val="nil"/>
              <w:left w:val="single" w:sz="8" w:space="0" w:color="auto"/>
              <w:bottom w:val="single" w:sz="4" w:space="0" w:color="auto"/>
              <w:right w:val="single" w:sz="8" w:space="0" w:color="auto"/>
            </w:tcBorders>
            <w:shd w:val="clear" w:color="auto" w:fill="auto"/>
            <w:vAlign w:val="bottom"/>
            <w:hideMark/>
          </w:tcPr>
          <w:p w:rsidR="00314167" w:rsidRPr="00314167" w:rsidRDefault="00314167" w:rsidP="00314167">
            <w:pPr>
              <w:rPr>
                <w:rFonts w:ascii="Times New Roman" w:hAnsi="Times New Roman"/>
                <w:sz w:val="20"/>
              </w:rPr>
            </w:pPr>
            <w:r w:rsidRPr="00314167">
              <w:rPr>
                <w:rFonts w:ascii="Times New Roman" w:hAnsi="Times New Roman"/>
                <w:sz w:val="20"/>
              </w:rPr>
              <w:t>Lėšos moksleivio krepšeliui finansuoti</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14 888,0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15 980,4</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7,3 %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Lėšos Valstybės investicijų programoje numatytiems projektams finansuoti </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461,0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190,0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-58,8 %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1.3.4.1.1.2.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Bendrosios dotacijos kompensacija</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24,0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1.3.4.1.1.1.4.</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Perduotoms iš apskričių įstaigoms išlaikyti</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67,0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45,9</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-31,5 %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1.3.4.1.1.4.</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Kitos dotacijos ir lėšos iš kitų valdymo lygių</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185,0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1.4.</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Kitos pajamos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2 044,5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2 417,5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18,2 %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Turto pajamos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435,5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401,5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-7,8 %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Palūkanos už paskolas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1.4.1.1.2.1.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Palūkanos už depozitus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1.4.1.2.1.2.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Dividendai</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518"/>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1.4.1.4.1.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Nuomos mokestis už valstybinę žemę ir valstybinio vidaus vandenų fondo vandens telkinius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310,0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270,0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-12,9 %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1.4.1.4.2.1.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Mokestis už medžiojamųjų gyvūnų išteklius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17,5</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17,5</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1.4.1.4.2.2.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Kiti mokesčiai už valstybinius gamtos išteklius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108,0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113,0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4,6 %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Pajamos už prekes ir paslaugas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1 609,0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1 986,0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23,4 %</w:t>
            </w:r>
          </w:p>
        </w:tc>
      </w:tr>
      <w:tr w:rsidR="00314167" w:rsidRPr="00314167" w:rsidTr="00F87BA3">
        <w:trPr>
          <w:trHeight w:val="240"/>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1.4.2.1.2.1.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xml:space="preserve">Pajamos už patalpų nuomą </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186,1</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217,7</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17,0 %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1.4.2.1.4.1.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Pajamos už atsitiktines paslaugas</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226,3</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234,4</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3,6 %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1.4.2.1.5.2.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Įmokos už išlaikymą švietimo, socialinės apsaugos ir kitose įstaigose</w:t>
            </w:r>
          </w:p>
        </w:tc>
        <w:tc>
          <w:tcPr>
            <w:tcW w:w="1276" w:type="dxa"/>
            <w:tcBorders>
              <w:top w:val="nil"/>
              <w:left w:val="nil"/>
              <w:bottom w:val="single" w:sz="4" w:space="0" w:color="auto"/>
              <w:right w:val="nil"/>
            </w:tcBorders>
            <w:shd w:val="clear" w:color="auto" w:fill="auto"/>
            <w:noWrap/>
            <w:vAlign w:val="bottom"/>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1 196,6</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1533,9</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28,2 %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1.4.3.1.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Pajamos iš baudų ir konfiskavimo</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30,0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4.1.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Materialiojo ir nematerialiojo turto realizavimo pajamos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10,0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250,0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2 500,0 %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4.1.1.1.1.1.</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Žemė</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50,0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 </w:t>
            </w:r>
          </w:p>
        </w:tc>
      </w:tr>
      <w:tr w:rsidR="00314167" w:rsidRPr="00314167" w:rsidTr="00F87BA3">
        <w:trPr>
          <w:trHeight w:val="255"/>
        </w:trPr>
        <w:tc>
          <w:tcPr>
            <w:tcW w:w="1339" w:type="dxa"/>
            <w:tcBorders>
              <w:top w:val="nil"/>
              <w:left w:val="single" w:sz="8" w:space="0" w:color="auto"/>
              <w:bottom w:val="single" w:sz="4" w:space="0" w:color="auto"/>
              <w:right w:val="nil"/>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4.1.1.1.1.2.</w:t>
            </w:r>
          </w:p>
        </w:tc>
        <w:tc>
          <w:tcPr>
            <w:tcW w:w="4473" w:type="dxa"/>
            <w:tcBorders>
              <w:top w:val="nil"/>
              <w:left w:val="single" w:sz="8" w:space="0" w:color="auto"/>
              <w:bottom w:val="single" w:sz="4" w:space="0" w:color="auto"/>
              <w:right w:val="single" w:sz="8" w:space="0" w:color="auto"/>
            </w:tcBorders>
            <w:shd w:val="clear" w:color="auto" w:fill="auto"/>
            <w:vAlign w:val="center"/>
            <w:hideMark/>
          </w:tcPr>
          <w:p w:rsidR="00314167" w:rsidRPr="00314167" w:rsidRDefault="00314167" w:rsidP="00314167">
            <w:pPr>
              <w:rPr>
                <w:rFonts w:ascii="Times New Roman" w:hAnsi="Times New Roman"/>
                <w:sz w:val="20"/>
              </w:rPr>
            </w:pPr>
            <w:r w:rsidRPr="00314167">
              <w:rPr>
                <w:rFonts w:ascii="Times New Roman" w:hAnsi="Times New Roman"/>
                <w:sz w:val="20"/>
              </w:rPr>
              <w:t>Pastatų ir statinių realizavimo pajamos</w:t>
            </w:r>
          </w:p>
        </w:tc>
        <w:tc>
          <w:tcPr>
            <w:tcW w:w="1276" w:type="dxa"/>
            <w:tcBorders>
              <w:top w:val="nil"/>
              <w:left w:val="nil"/>
              <w:bottom w:val="single" w:sz="4" w:space="0" w:color="auto"/>
              <w:right w:val="nil"/>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10,0</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200,0</w:t>
            </w:r>
          </w:p>
        </w:tc>
        <w:tc>
          <w:tcPr>
            <w:tcW w:w="1242"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2 000,0 %</w:t>
            </w:r>
          </w:p>
        </w:tc>
      </w:tr>
      <w:tr w:rsidR="00314167" w:rsidRPr="00314167" w:rsidTr="00F87BA3">
        <w:trPr>
          <w:trHeight w:val="360"/>
        </w:trPr>
        <w:tc>
          <w:tcPr>
            <w:tcW w:w="1339" w:type="dxa"/>
            <w:tcBorders>
              <w:top w:val="nil"/>
              <w:left w:val="single" w:sz="8" w:space="0" w:color="auto"/>
              <w:bottom w:val="single" w:sz="8" w:space="0" w:color="auto"/>
              <w:right w:val="nil"/>
            </w:tcBorders>
            <w:shd w:val="clear" w:color="auto" w:fill="auto"/>
            <w:noWrap/>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 </w:t>
            </w:r>
          </w:p>
        </w:tc>
        <w:tc>
          <w:tcPr>
            <w:tcW w:w="4473" w:type="dxa"/>
            <w:tcBorders>
              <w:top w:val="nil"/>
              <w:left w:val="single" w:sz="8" w:space="0" w:color="auto"/>
              <w:bottom w:val="single" w:sz="8" w:space="0" w:color="auto"/>
              <w:right w:val="single" w:sz="8" w:space="0" w:color="auto"/>
            </w:tcBorders>
            <w:shd w:val="clear" w:color="auto" w:fill="auto"/>
            <w:vAlign w:val="center"/>
            <w:hideMark/>
          </w:tcPr>
          <w:p w:rsidR="00314167" w:rsidRPr="00314167" w:rsidRDefault="00314167" w:rsidP="00314167">
            <w:pPr>
              <w:rPr>
                <w:rFonts w:ascii="Times New Roman" w:hAnsi="Times New Roman"/>
                <w:b/>
                <w:bCs/>
                <w:sz w:val="20"/>
              </w:rPr>
            </w:pPr>
            <w:r w:rsidRPr="00314167">
              <w:rPr>
                <w:rFonts w:ascii="Times New Roman" w:hAnsi="Times New Roman"/>
                <w:b/>
                <w:bCs/>
                <w:sz w:val="20"/>
              </w:rPr>
              <w:t xml:space="preserve">VISOS PAJAMOS </w:t>
            </w:r>
          </w:p>
        </w:tc>
        <w:tc>
          <w:tcPr>
            <w:tcW w:w="1276" w:type="dxa"/>
            <w:tcBorders>
              <w:top w:val="nil"/>
              <w:left w:val="nil"/>
              <w:bottom w:val="single" w:sz="8" w:space="0" w:color="auto"/>
              <w:right w:val="nil"/>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54 620,5</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b/>
                <w:bCs/>
                <w:sz w:val="20"/>
              </w:rPr>
            </w:pPr>
            <w:r w:rsidRPr="00314167">
              <w:rPr>
                <w:rFonts w:ascii="Times New Roman" w:hAnsi="Times New Roman"/>
                <w:b/>
                <w:bCs/>
                <w:sz w:val="20"/>
              </w:rPr>
              <w:t>59 808,7</w:t>
            </w:r>
          </w:p>
        </w:tc>
        <w:tc>
          <w:tcPr>
            <w:tcW w:w="1242" w:type="dxa"/>
            <w:tcBorders>
              <w:top w:val="nil"/>
              <w:left w:val="nil"/>
              <w:bottom w:val="single" w:sz="8" w:space="0" w:color="auto"/>
              <w:right w:val="single" w:sz="8" w:space="0" w:color="auto"/>
            </w:tcBorders>
            <w:shd w:val="clear" w:color="auto" w:fill="auto"/>
            <w:noWrap/>
            <w:vAlign w:val="center"/>
            <w:hideMark/>
          </w:tcPr>
          <w:p w:rsidR="00314167" w:rsidRPr="00314167" w:rsidRDefault="00314167" w:rsidP="00314167">
            <w:pPr>
              <w:jc w:val="right"/>
              <w:rPr>
                <w:rFonts w:ascii="Times New Roman" w:hAnsi="Times New Roman"/>
                <w:sz w:val="20"/>
              </w:rPr>
            </w:pPr>
            <w:r w:rsidRPr="00314167">
              <w:rPr>
                <w:rFonts w:ascii="Times New Roman" w:hAnsi="Times New Roman"/>
                <w:sz w:val="20"/>
              </w:rPr>
              <w:t>9,5 %</w:t>
            </w:r>
          </w:p>
        </w:tc>
      </w:tr>
    </w:tbl>
    <w:p w:rsidR="00314167" w:rsidRDefault="00314167" w:rsidP="00314167">
      <w:pPr>
        <w:tabs>
          <w:tab w:val="left" w:pos="1134"/>
        </w:tabs>
        <w:spacing w:line="360" w:lineRule="auto"/>
        <w:ind w:left="851"/>
        <w:jc w:val="both"/>
        <w:rPr>
          <w:rFonts w:ascii="Times New Roman" w:hAnsi="Times New Roman"/>
          <w:sz w:val="24"/>
          <w:szCs w:val="24"/>
          <w:u w:val="single"/>
          <w:lang w:eastAsia="en-US"/>
        </w:rPr>
      </w:pPr>
    </w:p>
    <w:p w:rsidR="00314167" w:rsidRPr="00314167" w:rsidRDefault="00314167" w:rsidP="00314167">
      <w:pPr>
        <w:tabs>
          <w:tab w:val="left" w:pos="1134"/>
        </w:tabs>
        <w:spacing w:line="360" w:lineRule="auto"/>
        <w:ind w:left="851"/>
        <w:jc w:val="both"/>
        <w:rPr>
          <w:rFonts w:ascii="Times New Roman" w:hAnsi="Times New Roman"/>
          <w:sz w:val="24"/>
          <w:szCs w:val="24"/>
          <w:u w:val="single"/>
          <w:lang w:eastAsia="en-US"/>
        </w:rPr>
      </w:pPr>
    </w:p>
    <w:p w:rsidR="00314167" w:rsidRPr="00314167" w:rsidRDefault="00314167" w:rsidP="00314167">
      <w:pPr>
        <w:spacing w:line="360" w:lineRule="auto"/>
        <w:jc w:val="center"/>
        <w:rPr>
          <w:rFonts w:ascii="Times New Roman" w:hAnsi="Times New Roman"/>
          <w:b/>
          <w:color w:val="000000"/>
          <w:spacing w:val="-1"/>
          <w:sz w:val="24"/>
          <w:szCs w:val="24"/>
        </w:rPr>
      </w:pPr>
      <w:r w:rsidRPr="00314167">
        <w:rPr>
          <w:rFonts w:ascii="Times New Roman" w:hAnsi="Times New Roman"/>
          <w:b/>
          <w:color w:val="000000"/>
          <w:spacing w:val="-1"/>
          <w:sz w:val="24"/>
          <w:szCs w:val="24"/>
        </w:rPr>
        <w:lastRenderedPageBreak/>
        <w:t>Kauno rajono savivaldybės 2016 ir 2017 m. pajamų planų palyginimas, tūkst. Eur</w:t>
      </w:r>
    </w:p>
    <w:p w:rsidR="00314167" w:rsidRPr="00314167" w:rsidRDefault="00314167" w:rsidP="00314167">
      <w:pPr>
        <w:tabs>
          <w:tab w:val="left" w:pos="1134"/>
        </w:tabs>
        <w:spacing w:line="360" w:lineRule="auto"/>
        <w:jc w:val="center"/>
        <w:rPr>
          <w:rFonts w:ascii="Times New Roman" w:hAnsi="Times New Roman"/>
          <w:sz w:val="18"/>
          <w:szCs w:val="18"/>
          <w:lang w:eastAsia="en-US"/>
        </w:rPr>
      </w:pPr>
      <w:r w:rsidRPr="00314167">
        <w:rPr>
          <w:noProof/>
        </w:rPr>
        <w:drawing>
          <wp:inline distT="0" distB="0" distL="0" distR="0" wp14:anchorId="1B5CB594" wp14:editId="4EAEAD68">
            <wp:extent cx="5995670" cy="3256280"/>
            <wp:effectExtent l="0" t="0" r="0" b="0"/>
            <wp:docPr id="3" name="Diagrama 3">
              <a:extLst xmlns:a="http://schemas.openxmlformats.org/drawingml/2006/main">
                <a:ext uri="{FF2B5EF4-FFF2-40B4-BE49-F238E27FC236}">
                  <a16:creationId xmlns:a16="http://schemas.microsoft.com/office/drawing/2014/main" id="{98C66C7A-8641-4FC1-B85D-1BAD4FFF4C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4167" w:rsidRPr="00314167" w:rsidRDefault="00314167" w:rsidP="00314167">
      <w:pPr>
        <w:tabs>
          <w:tab w:val="left" w:pos="1134"/>
        </w:tabs>
        <w:spacing w:line="360" w:lineRule="auto"/>
        <w:ind w:firstLine="851"/>
        <w:jc w:val="both"/>
        <w:rPr>
          <w:rFonts w:ascii="Times New Roman" w:hAnsi="Times New Roman"/>
          <w:i/>
          <w:sz w:val="24"/>
          <w:szCs w:val="24"/>
          <w:u w:val="single"/>
          <w:lang w:eastAsia="en-US"/>
        </w:rPr>
      </w:pPr>
      <w:r w:rsidRPr="00314167">
        <w:rPr>
          <w:rFonts w:ascii="Times New Roman" w:hAnsi="Times New Roman"/>
          <w:i/>
          <w:sz w:val="24"/>
          <w:szCs w:val="24"/>
          <w:u w:val="single"/>
          <w:lang w:eastAsia="en-US"/>
        </w:rPr>
        <w:t>Asignavimai</w:t>
      </w:r>
    </w:p>
    <w:p w:rsidR="00314167" w:rsidRPr="00314167" w:rsidRDefault="00314167" w:rsidP="00314167">
      <w:pPr>
        <w:spacing w:line="360" w:lineRule="auto"/>
        <w:ind w:firstLine="851"/>
        <w:jc w:val="both"/>
        <w:rPr>
          <w:rFonts w:ascii="Times New Roman" w:hAnsi="Times New Roman"/>
          <w:sz w:val="24"/>
          <w:szCs w:val="24"/>
          <w:lang w:val="en-US"/>
        </w:rPr>
      </w:pPr>
      <w:r w:rsidRPr="00314167">
        <w:rPr>
          <w:rFonts w:ascii="Times New Roman" w:hAnsi="Times New Roman"/>
          <w:color w:val="000000"/>
          <w:spacing w:val="-1"/>
          <w:sz w:val="24"/>
          <w:szCs w:val="24"/>
        </w:rPr>
        <w:t xml:space="preserve">Kauno rajono savivaldybės 2017 m. planuojama asignavimų suma viršija pajamų sumą 1 290,6 tūkst. Eur ir sudaro 61 099,3 tūkst. Eur. Viršijimą sudaro: prie visų pajamų pridedamas laisvas biudžeto lėšų likutis 1 290,6 tūkst. Eur, nepanaudoti asignavimai iš skolintų lėšų investicijų projektams finansuoti 1 448,0 tūkst. Eur ir atimamos 2016 m. grąžinamos paskolos 1 448,0 tūkst. Eur (59 808,7 + 1 290,6 + 1 448,0 – 1 448,0 </w:t>
      </w:r>
      <w:r w:rsidRPr="00314167">
        <w:rPr>
          <w:rFonts w:ascii="Times New Roman" w:hAnsi="Times New Roman"/>
          <w:color w:val="000000"/>
          <w:spacing w:val="-1"/>
          <w:sz w:val="24"/>
          <w:szCs w:val="24"/>
          <w:lang w:val="en-US"/>
        </w:rPr>
        <w:t>= 61 099,3).</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Numatomi Kauno rajono savivaldybės 2017 m. asignavimai:</w:t>
      </w:r>
    </w:p>
    <w:p w:rsidR="00314167" w:rsidRPr="00314167" w:rsidRDefault="00314167" w:rsidP="00314167">
      <w:pPr>
        <w:spacing w:line="360" w:lineRule="auto"/>
        <w:ind w:right="-143" w:firstLine="851"/>
        <w:jc w:val="both"/>
        <w:rPr>
          <w:rFonts w:ascii="Times New Roman" w:hAnsi="Times New Roman"/>
          <w:b/>
          <w:sz w:val="24"/>
          <w:szCs w:val="24"/>
        </w:rPr>
      </w:pPr>
      <w:r w:rsidRPr="00314167">
        <w:rPr>
          <w:rFonts w:ascii="Times New Roman" w:hAnsi="Times New Roman"/>
          <w:b/>
          <w:sz w:val="24"/>
          <w:szCs w:val="24"/>
        </w:rPr>
        <w:t xml:space="preserve">1. Asignavimai pagal specialiąsias tikslines dotacijas iš valstybės biudžeto – </w:t>
      </w:r>
      <w:r>
        <w:rPr>
          <w:rFonts w:ascii="Times New Roman" w:hAnsi="Times New Roman"/>
          <w:b/>
          <w:sz w:val="24"/>
          <w:szCs w:val="24"/>
        </w:rPr>
        <w:br/>
      </w:r>
      <w:r w:rsidRPr="00314167">
        <w:rPr>
          <w:rFonts w:ascii="Times New Roman" w:hAnsi="Times New Roman"/>
          <w:b/>
          <w:sz w:val="24"/>
          <w:szCs w:val="24"/>
        </w:rPr>
        <w:t>20 164,7 tūkst. Eur:</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1.1. Mokinio krepšeliui finansuoti – 15 980,4 tūkst. Eur (3 priedas);</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 xml:space="preserve">1.2. Valstybinėms (perduotoms savivaldybėms) funkcijoms finansuoti – </w:t>
      </w:r>
      <w:r w:rsidRPr="00314167">
        <w:rPr>
          <w:rFonts w:ascii="Times New Roman" w:hAnsi="Times New Roman"/>
          <w:sz w:val="24"/>
          <w:szCs w:val="24"/>
        </w:rPr>
        <w:br/>
        <w:t xml:space="preserve">3 739,4 tūkst. Eur (4 priedas); </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1.3. Perduotoms iš apskričių įstaigoms išlaikyti – 45,9 tūkst. Eur;</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1.4. Lėšos Valstybės investicijų programoje numatytiems projektams finansuoti – 190,0 tūkst. Eur;</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1.5. Bendrosios dotacijos kompensacija (valstybės tarnautojams 15 proc. apskaičiuoto grąžintino neišmokėto darbo užmokesčio dalis) – 24,0 tūkst. Eur;</w:t>
      </w:r>
    </w:p>
    <w:p w:rsidR="00314167" w:rsidRPr="00314167" w:rsidRDefault="00314167" w:rsidP="00314167">
      <w:pPr>
        <w:spacing w:line="360" w:lineRule="auto"/>
        <w:ind w:firstLine="1134"/>
        <w:jc w:val="both"/>
        <w:rPr>
          <w:rFonts w:ascii="Times New Roman" w:hAnsi="Times New Roman"/>
          <w:sz w:val="24"/>
          <w:szCs w:val="24"/>
          <w:lang w:val="en-US"/>
        </w:rPr>
      </w:pPr>
      <w:r w:rsidRPr="00314167">
        <w:rPr>
          <w:rFonts w:ascii="Times New Roman" w:hAnsi="Times New Roman"/>
          <w:sz w:val="24"/>
          <w:szCs w:val="24"/>
        </w:rPr>
        <w:t>1.6. Kitos dotacijos ir lėšos iš kitų valdymo lygių (neformaliam švietimui organizuoti) – 185,0 tūkst. Eur.</w:t>
      </w:r>
    </w:p>
    <w:p w:rsidR="00314167" w:rsidRPr="00314167" w:rsidRDefault="00314167" w:rsidP="00314167">
      <w:pPr>
        <w:widowControl w:val="0"/>
        <w:spacing w:line="360" w:lineRule="auto"/>
        <w:ind w:firstLine="851"/>
        <w:jc w:val="both"/>
        <w:rPr>
          <w:rFonts w:ascii="Times New Roman" w:hAnsi="Times New Roman"/>
          <w:b/>
          <w:sz w:val="24"/>
          <w:szCs w:val="24"/>
        </w:rPr>
      </w:pPr>
      <w:r w:rsidRPr="00314167">
        <w:rPr>
          <w:rFonts w:ascii="Times New Roman" w:hAnsi="Times New Roman"/>
          <w:b/>
          <w:sz w:val="24"/>
          <w:szCs w:val="24"/>
        </w:rPr>
        <w:t xml:space="preserve">2. Asignavimai pagal biudžetinių įstaigų gautas pajamas – 2 226,0 tūkst. Eur </w:t>
      </w:r>
      <w:r w:rsidRPr="00314167">
        <w:rPr>
          <w:rFonts w:ascii="Times New Roman" w:hAnsi="Times New Roman"/>
          <w:b/>
          <w:sz w:val="24"/>
          <w:szCs w:val="24"/>
        </w:rPr>
        <w:br/>
        <w:t>(5 priedas), iš jų:</w:t>
      </w:r>
    </w:p>
    <w:p w:rsidR="00314167" w:rsidRPr="00314167" w:rsidRDefault="00314167" w:rsidP="00314167">
      <w:pPr>
        <w:widowControl w:val="0"/>
        <w:spacing w:line="360" w:lineRule="auto"/>
        <w:ind w:firstLine="1134"/>
        <w:jc w:val="both"/>
        <w:rPr>
          <w:rFonts w:ascii="Times New Roman" w:hAnsi="Times New Roman"/>
          <w:sz w:val="24"/>
          <w:szCs w:val="24"/>
        </w:rPr>
      </w:pPr>
      <w:r w:rsidRPr="00314167">
        <w:rPr>
          <w:rFonts w:ascii="Times New Roman" w:hAnsi="Times New Roman"/>
          <w:sz w:val="24"/>
          <w:szCs w:val="24"/>
        </w:rPr>
        <w:lastRenderedPageBreak/>
        <w:t>2.1. SAARS programai finansuoti – 240,0 tūkst. Eur;</w:t>
      </w:r>
    </w:p>
    <w:p w:rsidR="00314167" w:rsidRPr="00314167" w:rsidRDefault="00314167" w:rsidP="00314167">
      <w:pPr>
        <w:spacing w:line="360" w:lineRule="auto"/>
        <w:ind w:firstLine="1134"/>
        <w:jc w:val="both"/>
        <w:rPr>
          <w:rFonts w:ascii="Times New Roman" w:hAnsi="Times New Roman"/>
          <w:sz w:val="24"/>
          <w:szCs w:val="24"/>
        </w:rPr>
      </w:pPr>
      <w:r w:rsidRPr="00314167">
        <w:rPr>
          <w:rFonts w:ascii="Times New Roman" w:hAnsi="Times New Roman"/>
          <w:sz w:val="24"/>
          <w:szCs w:val="24"/>
        </w:rPr>
        <w:t>2.2. konkretiems asignavimų valdytojų tikslams finansuoti – 1 986,0 tūkst. Eur.</w:t>
      </w:r>
    </w:p>
    <w:p w:rsidR="00314167" w:rsidRPr="00314167" w:rsidRDefault="00314167" w:rsidP="00314167">
      <w:pPr>
        <w:spacing w:line="360" w:lineRule="auto"/>
        <w:ind w:firstLine="851"/>
        <w:jc w:val="both"/>
        <w:rPr>
          <w:rFonts w:ascii="Times New Roman" w:hAnsi="Times New Roman"/>
          <w:b/>
          <w:sz w:val="24"/>
          <w:szCs w:val="24"/>
        </w:rPr>
      </w:pPr>
      <w:r w:rsidRPr="00314167">
        <w:rPr>
          <w:rFonts w:ascii="Times New Roman" w:hAnsi="Times New Roman"/>
          <w:b/>
          <w:sz w:val="24"/>
          <w:szCs w:val="24"/>
        </w:rPr>
        <w:t xml:space="preserve">3. Asignavimai iš mokesčių (savarankiškų savivaldybės pajamų) – </w:t>
      </w:r>
      <w:r w:rsidRPr="00314167">
        <w:rPr>
          <w:rFonts w:ascii="Times New Roman" w:hAnsi="Times New Roman"/>
          <w:b/>
          <w:sz w:val="24"/>
          <w:szCs w:val="24"/>
        </w:rPr>
        <w:br/>
        <w:t>37 418,0 tūkst. Eur.</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Likusi išlaidų dalis 37 418,0 tūkst. Eur Kauno rajono savivaldybės biudžete numatoma būtiniausioms savivaldybės funkcijoms vykdyti ir projektams įgyvendinti </w:t>
      </w:r>
      <w:r w:rsidRPr="00314167">
        <w:rPr>
          <w:rFonts w:ascii="Times New Roman" w:hAnsi="Times New Roman"/>
          <w:sz w:val="24"/>
          <w:szCs w:val="24"/>
        </w:rPr>
        <w:br/>
        <w:t>(2 priedas).</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Laisvas biudžeto lėšų likutis 2016 m. gruodžio 31 d. sudarė 1290,6 tūkst. Eur. 315,0 tūkst. Eur susidarė iš biudžetinių įstaigų pajamų likučio, ir 2016 m. šie asignavimai bus naudojami konkrečių biudžetinių įstaigų poreikiams tenkinti. 975,6 tūkst. Eur bus naudojama Savivaldybės administracijos investiciniams projektams vykdyti. 1 439,7 tūkst. Eur – įšaldytos lėšos bankuose (768,7 tūkst. Eur AB banke „Snoras“ ir 671,0 tūkst. Eur AB Ūkio banke). Laisvo biudžeto lėšų likučio išsami informacija – 8 priede. </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Kauno rajono savivaldybės 2017 m. biudžeto projekto asignavimai paskirstyti </w:t>
      </w:r>
      <w:r w:rsidRPr="00314167">
        <w:rPr>
          <w:rFonts w:ascii="Times New Roman" w:hAnsi="Times New Roman"/>
          <w:sz w:val="24"/>
          <w:szCs w:val="24"/>
        </w:rPr>
        <w:br/>
        <w:t>12 programų vykdyti:</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01 Savivaldybės valdymo programai – 12 433,5 tūkst. Eur, arba 20,5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02 Savivaldybės politikos įgyvendinimo programai – 937,3 tūkst. Eur, arba 1,5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03 Kauno rajono verslo plėtros ir investicijų programai – 3 224,8 tūkst. Eur, arba </w:t>
      </w:r>
      <w:r w:rsidRPr="00314167">
        <w:rPr>
          <w:rFonts w:ascii="Times New Roman" w:hAnsi="Times New Roman"/>
          <w:sz w:val="24"/>
          <w:szCs w:val="24"/>
        </w:rPr>
        <w:br/>
        <w:t>5,3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04 Žemės ūkio programai – 346,5 tūkst. Eur arba 0,6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 xml:space="preserve">05 Komunalinio ūkio plėtros ir priežiūros programai – 2 186,7 tūkst. Eur, arba </w:t>
      </w:r>
      <w:r w:rsidRPr="00314167">
        <w:rPr>
          <w:rFonts w:ascii="Times New Roman" w:hAnsi="Times New Roman"/>
          <w:sz w:val="24"/>
          <w:szCs w:val="24"/>
        </w:rPr>
        <w:br/>
        <w:t>3,6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06 Turto administravimo programai – 77,0 tūkst. Eur, arba 0,1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07 Aplinkos ir sveikatinimo programai – 1 239,0 tūkst. Eur, arba 2,0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08 Kultūros plėtros programai – 2 481,2 tūkst. Eur, arba 4,1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09 Švietimo ir ugdymo programai – 31 039,6 tūkst. Eur, arba 51,1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10 Socialinės paramos įgyvendinimo programai – 4 612,1 tūkst. Eur, arba 7,6 proc.;</w:t>
      </w: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t>11 Kūno kultūros ir sporto plėtojimo programai – 449,1 tūkst. Eur, arba 0,7 proc.;</w:t>
      </w:r>
    </w:p>
    <w:p w:rsidR="00314167" w:rsidRPr="00314167" w:rsidRDefault="00314167" w:rsidP="00314167">
      <w:pPr>
        <w:tabs>
          <w:tab w:val="left" w:pos="1134"/>
          <w:tab w:val="left" w:pos="1276"/>
        </w:tabs>
        <w:spacing w:line="360" w:lineRule="auto"/>
        <w:ind w:firstLine="851"/>
        <w:jc w:val="both"/>
        <w:rPr>
          <w:rFonts w:ascii="Times New Roman" w:hAnsi="Times New Roman"/>
          <w:sz w:val="24"/>
          <w:szCs w:val="24"/>
        </w:rPr>
      </w:pPr>
      <w:r w:rsidRPr="00314167">
        <w:rPr>
          <w:rFonts w:ascii="Times New Roman" w:hAnsi="Times New Roman"/>
          <w:sz w:val="24"/>
          <w:szCs w:val="24"/>
        </w:rPr>
        <w:t>12 Kelių priežiūros ir viešojo transporto paslaugų įgyvendinimo programai – 1 757,6 tūkst. Eur, arba 2,9 proc.</w:t>
      </w:r>
    </w:p>
    <w:p w:rsidR="00314167" w:rsidRPr="00314167" w:rsidRDefault="00314167" w:rsidP="00314167">
      <w:pPr>
        <w:spacing w:line="360" w:lineRule="auto"/>
        <w:rPr>
          <w:rFonts w:ascii="Times New Roman" w:hAnsi="Times New Roman"/>
          <w:b/>
          <w:sz w:val="24"/>
          <w:szCs w:val="24"/>
        </w:rPr>
      </w:pPr>
    </w:p>
    <w:p w:rsidR="00314167" w:rsidRPr="00314167" w:rsidRDefault="00314167" w:rsidP="00314167">
      <w:pPr>
        <w:spacing w:line="360" w:lineRule="auto"/>
        <w:rPr>
          <w:rFonts w:ascii="Times New Roman" w:hAnsi="Times New Roman"/>
          <w:b/>
          <w:sz w:val="24"/>
          <w:szCs w:val="24"/>
        </w:rPr>
      </w:pPr>
    </w:p>
    <w:p w:rsidR="00314167" w:rsidRPr="00314167" w:rsidRDefault="00314167" w:rsidP="00314167">
      <w:pPr>
        <w:spacing w:line="360" w:lineRule="auto"/>
        <w:rPr>
          <w:rFonts w:ascii="Times New Roman" w:hAnsi="Times New Roman"/>
          <w:b/>
          <w:sz w:val="24"/>
          <w:szCs w:val="24"/>
        </w:rPr>
      </w:pPr>
    </w:p>
    <w:p w:rsidR="00314167" w:rsidRPr="00314167" w:rsidRDefault="00314167" w:rsidP="00314167">
      <w:pPr>
        <w:spacing w:line="360" w:lineRule="auto"/>
        <w:rPr>
          <w:rFonts w:ascii="Times New Roman" w:hAnsi="Times New Roman"/>
          <w:b/>
          <w:sz w:val="24"/>
          <w:szCs w:val="24"/>
        </w:rPr>
      </w:pPr>
    </w:p>
    <w:p w:rsidR="00314167" w:rsidRPr="00314167" w:rsidRDefault="00314167" w:rsidP="00314167">
      <w:pPr>
        <w:spacing w:line="360" w:lineRule="auto"/>
        <w:rPr>
          <w:rFonts w:ascii="Times New Roman" w:hAnsi="Times New Roman"/>
          <w:b/>
          <w:sz w:val="24"/>
          <w:szCs w:val="24"/>
        </w:rPr>
      </w:pPr>
    </w:p>
    <w:p w:rsidR="00314167" w:rsidRPr="00314167" w:rsidRDefault="00314167" w:rsidP="00314167">
      <w:pPr>
        <w:spacing w:line="360" w:lineRule="auto"/>
        <w:jc w:val="center"/>
        <w:rPr>
          <w:rFonts w:ascii="Times New Roman" w:hAnsi="Times New Roman"/>
          <w:noProof/>
          <w:sz w:val="24"/>
          <w:szCs w:val="24"/>
        </w:rPr>
      </w:pPr>
      <w:r w:rsidRPr="00314167">
        <w:rPr>
          <w:rFonts w:ascii="Times New Roman" w:hAnsi="Times New Roman"/>
          <w:b/>
          <w:sz w:val="24"/>
          <w:szCs w:val="24"/>
        </w:rPr>
        <w:lastRenderedPageBreak/>
        <w:t>Kauno rajono savivaldybės 2017 m. biudžeto pasiskirstymas pagal programas, proc.</w:t>
      </w:r>
    </w:p>
    <w:p w:rsidR="00314167" w:rsidRPr="00314167" w:rsidRDefault="00314167" w:rsidP="00314167">
      <w:pPr>
        <w:tabs>
          <w:tab w:val="left" w:pos="1134"/>
          <w:tab w:val="left" w:pos="1276"/>
        </w:tabs>
        <w:spacing w:line="360" w:lineRule="auto"/>
        <w:ind w:firstLine="720"/>
        <w:jc w:val="center"/>
        <w:rPr>
          <w:rFonts w:ascii="Times New Roman" w:hAnsi="Times New Roman"/>
          <w:b/>
          <w:sz w:val="24"/>
          <w:szCs w:val="24"/>
          <w:lang w:eastAsia="en-US"/>
        </w:rPr>
      </w:pPr>
      <w:r w:rsidRPr="00314167">
        <w:rPr>
          <w:noProof/>
        </w:rPr>
        <w:drawing>
          <wp:inline distT="0" distB="0" distL="0" distR="0" wp14:anchorId="722E0A61" wp14:editId="6B5111F6">
            <wp:extent cx="5843270" cy="3467100"/>
            <wp:effectExtent l="38100" t="0" r="5080" b="0"/>
            <wp:docPr id="4" name="Diagrama 4">
              <a:extLst xmlns:a="http://schemas.openxmlformats.org/drawingml/2006/main">
                <a:ext uri="{FF2B5EF4-FFF2-40B4-BE49-F238E27FC236}">
                  <a16:creationId xmlns:a16="http://schemas.microsoft.com/office/drawing/2014/main" id="{E997EABA-C2FE-45AF-98A5-7145602AB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4167" w:rsidRPr="00314167" w:rsidRDefault="00314167" w:rsidP="00314167">
      <w:pPr>
        <w:spacing w:line="360" w:lineRule="auto"/>
        <w:jc w:val="center"/>
        <w:rPr>
          <w:rFonts w:ascii="Times New Roman" w:hAnsi="Times New Roman"/>
          <w:b/>
          <w:sz w:val="24"/>
          <w:szCs w:val="24"/>
        </w:rPr>
      </w:pPr>
      <w:r w:rsidRPr="00314167">
        <w:rPr>
          <w:rFonts w:ascii="Times New Roman" w:hAnsi="Times New Roman"/>
          <w:b/>
          <w:sz w:val="24"/>
          <w:szCs w:val="24"/>
        </w:rPr>
        <w:t xml:space="preserve">Kauno rajono savivaldybės 2016 ir 2017 programų palyginimas, proc. </w:t>
      </w:r>
    </w:p>
    <w:tbl>
      <w:tblPr>
        <w:tblW w:w="8920" w:type="dxa"/>
        <w:tblInd w:w="118" w:type="dxa"/>
        <w:tblLook w:val="04A0" w:firstRow="1" w:lastRow="0" w:firstColumn="1" w:lastColumn="0" w:noHBand="0" w:noVBand="1"/>
      </w:tblPr>
      <w:tblGrid>
        <w:gridCol w:w="3460"/>
        <w:gridCol w:w="1860"/>
        <w:gridCol w:w="1700"/>
        <w:gridCol w:w="1900"/>
      </w:tblGrid>
      <w:tr w:rsidR="00314167" w:rsidRPr="00314167" w:rsidTr="00F87BA3">
        <w:trPr>
          <w:trHeight w:val="315"/>
        </w:trPr>
        <w:tc>
          <w:tcPr>
            <w:tcW w:w="34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14167" w:rsidRPr="00314167" w:rsidRDefault="00314167" w:rsidP="00314167">
            <w:pPr>
              <w:jc w:val="center"/>
              <w:rPr>
                <w:rFonts w:ascii="Times New Roman" w:hAnsi="Times New Roman"/>
                <w:b/>
                <w:bCs/>
                <w:color w:val="000000"/>
                <w:sz w:val="24"/>
                <w:szCs w:val="24"/>
              </w:rPr>
            </w:pPr>
            <w:r w:rsidRPr="00314167">
              <w:rPr>
                <w:rFonts w:ascii="Times New Roman" w:hAnsi="Times New Roman"/>
                <w:b/>
                <w:bCs/>
                <w:color w:val="000000"/>
                <w:sz w:val="24"/>
                <w:szCs w:val="24"/>
              </w:rPr>
              <w:t>Programos</w:t>
            </w:r>
          </w:p>
        </w:tc>
        <w:tc>
          <w:tcPr>
            <w:tcW w:w="1860" w:type="dxa"/>
            <w:tcBorders>
              <w:top w:val="single" w:sz="8" w:space="0" w:color="auto"/>
              <w:left w:val="nil"/>
              <w:bottom w:val="single" w:sz="4" w:space="0" w:color="auto"/>
              <w:right w:val="single" w:sz="4" w:space="0" w:color="auto"/>
            </w:tcBorders>
            <w:shd w:val="clear" w:color="auto" w:fill="auto"/>
            <w:noWrap/>
            <w:vAlign w:val="bottom"/>
            <w:hideMark/>
          </w:tcPr>
          <w:p w:rsidR="00314167" w:rsidRPr="00314167" w:rsidRDefault="00314167" w:rsidP="00314167">
            <w:pPr>
              <w:jc w:val="center"/>
              <w:rPr>
                <w:rFonts w:ascii="Times New Roman" w:hAnsi="Times New Roman"/>
                <w:b/>
                <w:bCs/>
                <w:color w:val="000000"/>
                <w:sz w:val="24"/>
                <w:szCs w:val="24"/>
              </w:rPr>
            </w:pPr>
            <w:r w:rsidRPr="00314167">
              <w:rPr>
                <w:rFonts w:ascii="Times New Roman" w:hAnsi="Times New Roman"/>
                <w:b/>
                <w:bCs/>
                <w:color w:val="000000"/>
                <w:sz w:val="24"/>
                <w:szCs w:val="24"/>
              </w:rPr>
              <w:t>2016</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rsidR="00314167" w:rsidRPr="00314167" w:rsidRDefault="00314167" w:rsidP="00314167">
            <w:pPr>
              <w:jc w:val="center"/>
              <w:rPr>
                <w:rFonts w:ascii="Times New Roman" w:hAnsi="Times New Roman"/>
                <w:b/>
                <w:bCs/>
                <w:color w:val="000000"/>
                <w:sz w:val="24"/>
                <w:szCs w:val="24"/>
              </w:rPr>
            </w:pPr>
            <w:r w:rsidRPr="00314167">
              <w:rPr>
                <w:rFonts w:ascii="Times New Roman" w:hAnsi="Times New Roman"/>
                <w:b/>
                <w:bCs/>
                <w:color w:val="000000"/>
                <w:sz w:val="24"/>
                <w:szCs w:val="24"/>
              </w:rPr>
              <w:t>2017</w:t>
            </w:r>
          </w:p>
        </w:tc>
        <w:tc>
          <w:tcPr>
            <w:tcW w:w="1900" w:type="dxa"/>
            <w:tcBorders>
              <w:top w:val="single" w:sz="8" w:space="0" w:color="auto"/>
              <w:left w:val="nil"/>
              <w:bottom w:val="single" w:sz="4" w:space="0" w:color="auto"/>
              <w:right w:val="single" w:sz="8" w:space="0" w:color="auto"/>
            </w:tcBorders>
            <w:shd w:val="clear" w:color="auto" w:fill="auto"/>
            <w:noWrap/>
            <w:vAlign w:val="bottom"/>
            <w:hideMark/>
          </w:tcPr>
          <w:p w:rsidR="00314167" w:rsidRPr="00314167" w:rsidRDefault="00314167" w:rsidP="00314167">
            <w:pPr>
              <w:rPr>
                <w:rFonts w:ascii="Times New Roman" w:hAnsi="Times New Roman"/>
                <w:b/>
                <w:bCs/>
                <w:color w:val="000000"/>
                <w:sz w:val="24"/>
                <w:szCs w:val="24"/>
              </w:rPr>
            </w:pPr>
            <w:r w:rsidRPr="00314167">
              <w:rPr>
                <w:rFonts w:ascii="Times New Roman" w:hAnsi="Times New Roman"/>
                <w:b/>
                <w:bCs/>
                <w:color w:val="000000"/>
                <w:sz w:val="24"/>
                <w:szCs w:val="24"/>
              </w:rPr>
              <w:t>Palyginimas, proc.</w:t>
            </w:r>
          </w:p>
        </w:tc>
      </w:tr>
      <w:tr w:rsidR="00314167" w:rsidRPr="00314167" w:rsidTr="00F87BA3">
        <w:trPr>
          <w:trHeight w:val="315"/>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 xml:space="preserve">01 Savivaldybės valdymo programa </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11 368,1</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12 433,5</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9,4 %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02 Savivaldybės politikos įgyvendinimo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824,7</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937,3</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13,7 %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 xml:space="preserve">03 Kauno rajono verslo plėtros ir investicijų programa   </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3 165,3</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3 224,8</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1,9 %</w:t>
            </w:r>
          </w:p>
        </w:tc>
      </w:tr>
      <w:tr w:rsidR="00314167" w:rsidRPr="00314167" w:rsidTr="00F87BA3">
        <w:trPr>
          <w:trHeight w:val="315"/>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04 Žemės ūkio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231,0</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346,5</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50,0 %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 xml:space="preserve">05 Komunalinio ūkio plėtros ir priežiūros programa  </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1 481,5</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2 186,7</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47,6 %</w:t>
            </w:r>
          </w:p>
        </w:tc>
      </w:tr>
      <w:tr w:rsidR="00314167" w:rsidRPr="00314167" w:rsidTr="00F87BA3">
        <w:trPr>
          <w:trHeight w:val="315"/>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06 Turto administravimo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77,0</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77,0</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0,0 %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07 Aplinkos ir sveikatinimo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1 061,6</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1 239,0</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16,7 %</w:t>
            </w:r>
          </w:p>
        </w:tc>
      </w:tr>
      <w:tr w:rsidR="00314167" w:rsidRPr="00314167" w:rsidTr="00F87BA3">
        <w:trPr>
          <w:trHeight w:val="315"/>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08 Kultūros plėtros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2 118,9</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2481,2</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17,1 %</w:t>
            </w:r>
          </w:p>
        </w:tc>
      </w:tr>
      <w:tr w:rsidR="00314167" w:rsidRPr="00314167" w:rsidTr="00F87BA3">
        <w:trPr>
          <w:trHeight w:val="315"/>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09 Švietimo ir ugdymo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28 209,4</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31 039,6</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10,0 %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 xml:space="preserve">10 Socialinės paramos įgyvendinimo  programa   </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4 382,3</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4 612,1</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5,2 %</w:t>
            </w:r>
          </w:p>
        </w:tc>
      </w:tr>
      <w:tr w:rsidR="00314167" w:rsidRPr="00314167" w:rsidTr="00F87BA3">
        <w:trPr>
          <w:trHeight w:val="630"/>
        </w:trPr>
        <w:tc>
          <w:tcPr>
            <w:tcW w:w="3460" w:type="dxa"/>
            <w:tcBorders>
              <w:top w:val="nil"/>
              <w:left w:val="single" w:sz="8" w:space="0" w:color="auto"/>
              <w:bottom w:val="single" w:sz="4"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11 Kūno kultūros ir sporto plėtojimo programa</w:t>
            </w:r>
          </w:p>
        </w:tc>
        <w:tc>
          <w:tcPr>
            <w:tcW w:w="186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398,0</w:t>
            </w:r>
          </w:p>
        </w:tc>
        <w:tc>
          <w:tcPr>
            <w:tcW w:w="1700" w:type="dxa"/>
            <w:tcBorders>
              <w:top w:val="nil"/>
              <w:left w:val="nil"/>
              <w:bottom w:val="single" w:sz="4"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449,1</w:t>
            </w:r>
          </w:p>
        </w:tc>
        <w:tc>
          <w:tcPr>
            <w:tcW w:w="1900" w:type="dxa"/>
            <w:tcBorders>
              <w:top w:val="nil"/>
              <w:left w:val="nil"/>
              <w:bottom w:val="single" w:sz="4"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12,8 %</w:t>
            </w:r>
          </w:p>
        </w:tc>
      </w:tr>
      <w:tr w:rsidR="00314167" w:rsidRPr="00314167" w:rsidTr="00F87BA3">
        <w:trPr>
          <w:trHeight w:val="960"/>
        </w:trPr>
        <w:tc>
          <w:tcPr>
            <w:tcW w:w="3460" w:type="dxa"/>
            <w:tcBorders>
              <w:top w:val="nil"/>
              <w:left w:val="single" w:sz="8" w:space="0" w:color="auto"/>
              <w:bottom w:val="single" w:sz="8" w:space="0" w:color="auto"/>
              <w:right w:val="single" w:sz="4" w:space="0" w:color="auto"/>
            </w:tcBorders>
            <w:shd w:val="clear" w:color="auto" w:fill="auto"/>
            <w:hideMark/>
          </w:tcPr>
          <w:p w:rsidR="00314167" w:rsidRPr="00314167" w:rsidRDefault="00314167" w:rsidP="00314167">
            <w:pPr>
              <w:rPr>
                <w:rFonts w:ascii="Times New Roman" w:hAnsi="Times New Roman"/>
                <w:color w:val="000000"/>
                <w:sz w:val="24"/>
                <w:szCs w:val="24"/>
              </w:rPr>
            </w:pPr>
            <w:r w:rsidRPr="00314167">
              <w:rPr>
                <w:rFonts w:ascii="Times New Roman" w:hAnsi="Times New Roman"/>
                <w:color w:val="000000"/>
                <w:sz w:val="24"/>
                <w:szCs w:val="24"/>
              </w:rPr>
              <w:t>12 Kelių priežiūros ir viešojo transporto paslaugų įgyvendinimo programa</w:t>
            </w:r>
          </w:p>
        </w:tc>
        <w:tc>
          <w:tcPr>
            <w:tcW w:w="1860" w:type="dxa"/>
            <w:tcBorders>
              <w:top w:val="nil"/>
              <w:left w:val="nil"/>
              <w:bottom w:val="single" w:sz="8"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1 924,2</w:t>
            </w:r>
          </w:p>
        </w:tc>
        <w:tc>
          <w:tcPr>
            <w:tcW w:w="1700" w:type="dxa"/>
            <w:tcBorders>
              <w:top w:val="nil"/>
              <w:left w:val="nil"/>
              <w:bottom w:val="single" w:sz="8" w:space="0" w:color="auto"/>
              <w:right w:val="single" w:sz="4"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1 757,6</w:t>
            </w:r>
          </w:p>
        </w:tc>
        <w:tc>
          <w:tcPr>
            <w:tcW w:w="1900" w:type="dxa"/>
            <w:tcBorders>
              <w:top w:val="nil"/>
              <w:left w:val="nil"/>
              <w:bottom w:val="single" w:sz="8" w:space="0" w:color="auto"/>
              <w:right w:val="single" w:sz="8" w:space="0" w:color="auto"/>
            </w:tcBorders>
            <w:shd w:val="clear" w:color="auto" w:fill="auto"/>
            <w:noWrap/>
            <w:vAlign w:val="center"/>
            <w:hideMark/>
          </w:tcPr>
          <w:p w:rsidR="00314167" w:rsidRPr="00314167" w:rsidRDefault="00314167" w:rsidP="00314167">
            <w:pPr>
              <w:jc w:val="center"/>
              <w:rPr>
                <w:rFonts w:ascii="Times New Roman" w:hAnsi="Times New Roman"/>
                <w:color w:val="000000"/>
                <w:sz w:val="24"/>
                <w:szCs w:val="24"/>
              </w:rPr>
            </w:pPr>
            <w:r w:rsidRPr="00314167">
              <w:rPr>
                <w:rFonts w:ascii="Times New Roman" w:hAnsi="Times New Roman"/>
                <w:color w:val="000000"/>
                <w:sz w:val="24"/>
                <w:szCs w:val="24"/>
              </w:rPr>
              <w:t>-8,7 %</w:t>
            </w:r>
          </w:p>
        </w:tc>
      </w:tr>
    </w:tbl>
    <w:p w:rsidR="00314167" w:rsidRPr="00314167" w:rsidRDefault="00314167" w:rsidP="00314167">
      <w:pPr>
        <w:spacing w:line="360" w:lineRule="auto"/>
        <w:ind w:firstLine="720"/>
        <w:jc w:val="both"/>
        <w:rPr>
          <w:rFonts w:ascii="Times New Roman" w:hAnsi="Times New Roman"/>
          <w:sz w:val="24"/>
          <w:szCs w:val="24"/>
        </w:rPr>
      </w:pPr>
    </w:p>
    <w:p w:rsidR="00314167" w:rsidRPr="00314167" w:rsidRDefault="00314167" w:rsidP="00314167">
      <w:pPr>
        <w:spacing w:line="360" w:lineRule="auto"/>
        <w:ind w:firstLine="851"/>
        <w:jc w:val="both"/>
        <w:rPr>
          <w:rFonts w:ascii="Times New Roman" w:hAnsi="Times New Roman"/>
          <w:sz w:val="24"/>
          <w:szCs w:val="24"/>
        </w:rPr>
      </w:pPr>
      <w:r w:rsidRPr="00314167">
        <w:rPr>
          <w:rFonts w:ascii="Times New Roman" w:hAnsi="Times New Roman"/>
          <w:sz w:val="24"/>
          <w:szCs w:val="24"/>
        </w:rPr>
        <w:lastRenderedPageBreak/>
        <w:t xml:space="preserve">Visi Kauno rajono savivaldybės asignavimai 2017 m. sudarys 61 099,3 tūkst. Eur </w:t>
      </w:r>
      <w:r w:rsidRPr="00314167">
        <w:rPr>
          <w:rFonts w:ascii="Times New Roman" w:hAnsi="Times New Roman"/>
          <w:sz w:val="24"/>
          <w:szCs w:val="24"/>
        </w:rPr>
        <w:br/>
        <w:t>(2 priedas).</w:t>
      </w:r>
    </w:p>
    <w:p w:rsidR="00314167" w:rsidRPr="00314167" w:rsidRDefault="00314167" w:rsidP="00F9743A">
      <w:pPr>
        <w:numPr>
          <w:ilvl w:val="0"/>
          <w:numId w:val="1"/>
        </w:numPr>
        <w:tabs>
          <w:tab w:val="left" w:pos="1134"/>
        </w:tabs>
        <w:spacing w:line="360" w:lineRule="auto"/>
        <w:ind w:left="0" w:firstLine="851"/>
        <w:contextualSpacing/>
        <w:jc w:val="both"/>
        <w:rPr>
          <w:rFonts w:ascii="Times New Roman" w:eastAsia="Calibri" w:hAnsi="Times New Roman"/>
          <w:b/>
          <w:sz w:val="24"/>
          <w:szCs w:val="24"/>
          <w:lang w:eastAsia="en-US"/>
        </w:rPr>
      </w:pPr>
      <w:r w:rsidRPr="00314167">
        <w:rPr>
          <w:rFonts w:ascii="Times New Roman" w:eastAsia="Calibri" w:hAnsi="Times New Roman"/>
          <w:b/>
          <w:sz w:val="24"/>
          <w:szCs w:val="24"/>
          <w:lang w:eastAsia="en-US"/>
        </w:rPr>
        <w:t>Sprendimo projekto rengėjai. Asmuo, atsakingas už sprendimo įvykdymą.</w:t>
      </w:r>
    </w:p>
    <w:p w:rsidR="00314167" w:rsidRPr="00314167" w:rsidRDefault="00314167" w:rsidP="00314167">
      <w:pPr>
        <w:spacing w:line="360" w:lineRule="auto"/>
        <w:ind w:firstLine="851"/>
        <w:contextualSpacing/>
        <w:jc w:val="both"/>
        <w:rPr>
          <w:rFonts w:ascii="Calibri" w:eastAsia="Calibri" w:hAnsi="Calibri"/>
          <w:sz w:val="22"/>
          <w:szCs w:val="22"/>
          <w:lang w:eastAsia="en-US"/>
        </w:rPr>
      </w:pPr>
      <w:r w:rsidRPr="00314167">
        <w:rPr>
          <w:rFonts w:ascii="Times New Roman" w:eastAsia="Calibri" w:hAnsi="Times New Roman"/>
          <w:sz w:val="24"/>
          <w:szCs w:val="22"/>
          <w:lang w:eastAsia="en-US"/>
        </w:rPr>
        <w:t>Sprendimo projektą rengė Arūnas Milius, Savivaldybės administracijos Biudžeto ir finansų skyriaus vedėjas, Dalia Kupratienė, Savivaldybės administracijos Biudžeto ir finansų skyriaus vedėjo pavaduotoja, ir Zita Riševičienė, Savivaldybės administracijos Biudžeto ir finansų skyriaus vyriausioji specialistė, ji atsakinga už sprendimo įvykdymą</w:t>
      </w:r>
    </w:p>
    <w:p w:rsidR="00314167" w:rsidRPr="00314167" w:rsidRDefault="00314167" w:rsidP="00314167">
      <w:pPr>
        <w:tabs>
          <w:tab w:val="left" w:pos="1134"/>
        </w:tabs>
        <w:spacing w:line="360" w:lineRule="auto"/>
        <w:ind w:firstLine="851"/>
        <w:contextualSpacing/>
        <w:jc w:val="both"/>
        <w:rPr>
          <w:rFonts w:ascii="Times New Roman" w:eastAsia="Calibri" w:hAnsi="Times New Roman"/>
          <w:sz w:val="24"/>
          <w:szCs w:val="24"/>
          <w:lang w:eastAsia="en-US"/>
        </w:rPr>
      </w:pPr>
    </w:p>
    <w:p w:rsidR="00314167" w:rsidRPr="00314167" w:rsidRDefault="00314167" w:rsidP="00314167">
      <w:pPr>
        <w:spacing w:line="360" w:lineRule="auto"/>
        <w:jc w:val="both"/>
        <w:rPr>
          <w:rFonts w:ascii="Times New Roman" w:hAnsi="Times New Roman"/>
          <w:sz w:val="24"/>
          <w:szCs w:val="24"/>
          <w:lang w:eastAsia="en-US"/>
        </w:rPr>
      </w:pPr>
    </w:p>
    <w:p w:rsidR="00314167" w:rsidRPr="00314167" w:rsidRDefault="00314167" w:rsidP="00314167">
      <w:pPr>
        <w:spacing w:line="360" w:lineRule="auto"/>
        <w:jc w:val="both"/>
        <w:rPr>
          <w:rFonts w:ascii="Times New Roman" w:hAnsi="Times New Roman"/>
          <w:color w:val="000000"/>
          <w:sz w:val="24"/>
          <w:szCs w:val="24"/>
        </w:rPr>
      </w:pPr>
      <w:r w:rsidRPr="00314167">
        <w:rPr>
          <w:rFonts w:ascii="Times New Roman" w:hAnsi="Times New Roman"/>
          <w:sz w:val="24"/>
          <w:szCs w:val="24"/>
          <w:lang w:eastAsia="en-US"/>
        </w:rPr>
        <w:t>Biudžeto ir finansų skyriaus vedėjas</w:t>
      </w:r>
      <w:r w:rsidRPr="00314167">
        <w:rPr>
          <w:rFonts w:ascii="Times New Roman" w:hAnsi="Times New Roman"/>
          <w:sz w:val="24"/>
          <w:szCs w:val="24"/>
          <w:lang w:eastAsia="en-US"/>
        </w:rPr>
        <w:tab/>
      </w:r>
      <w:r w:rsidRPr="00314167">
        <w:rPr>
          <w:rFonts w:ascii="Times New Roman" w:hAnsi="Times New Roman"/>
          <w:sz w:val="24"/>
          <w:szCs w:val="24"/>
          <w:lang w:eastAsia="en-US"/>
        </w:rPr>
        <w:tab/>
      </w:r>
      <w:r w:rsidRPr="00314167">
        <w:rPr>
          <w:rFonts w:ascii="Times New Roman" w:hAnsi="Times New Roman"/>
          <w:sz w:val="24"/>
          <w:szCs w:val="24"/>
          <w:lang w:eastAsia="en-US"/>
        </w:rPr>
        <w:tab/>
      </w:r>
      <w:r w:rsidRPr="00314167">
        <w:rPr>
          <w:rFonts w:ascii="Times New Roman" w:hAnsi="Times New Roman"/>
          <w:sz w:val="24"/>
          <w:szCs w:val="24"/>
          <w:lang w:eastAsia="en-US"/>
        </w:rPr>
        <w:tab/>
      </w:r>
      <w:r w:rsidRPr="00314167">
        <w:rPr>
          <w:rFonts w:ascii="Times New Roman" w:hAnsi="Times New Roman"/>
          <w:sz w:val="24"/>
          <w:szCs w:val="24"/>
          <w:lang w:eastAsia="en-US"/>
        </w:rPr>
        <w:tab/>
      </w:r>
      <w:r w:rsidRPr="00314167">
        <w:rPr>
          <w:rFonts w:ascii="Times New Roman" w:hAnsi="Times New Roman"/>
          <w:sz w:val="24"/>
          <w:szCs w:val="24"/>
          <w:lang w:eastAsia="en-US"/>
        </w:rPr>
        <w:tab/>
        <w:t xml:space="preserve">        Arūnas Milius</w:t>
      </w:r>
    </w:p>
    <w:p w:rsidR="00163CC0" w:rsidRPr="00163CC0" w:rsidRDefault="00163CC0" w:rsidP="00163CC0">
      <w:pPr>
        <w:jc w:val="center"/>
        <w:rPr>
          <w:rFonts w:ascii="Times New Roman" w:hAnsi="Times New Roman"/>
          <w:sz w:val="24"/>
          <w:szCs w:val="24"/>
        </w:rPr>
      </w:pPr>
    </w:p>
    <w:sectPr w:rsidR="00163CC0" w:rsidRPr="00163CC0" w:rsidSect="00AB0CA0">
      <w:headerReference w:type="even" r:id="rId11"/>
      <w:headerReference w:type="default" r:id="rId12"/>
      <w:headerReference w:type="first" r:id="rId13"/>
      <w:footerReference w:type="first" r:id="rId14"/>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E99" w:rsidRDefault="00F44E99">
      <w:r>
        <w:separator/>
      </w:r>
    </w:p>
  </w:endnote>
  <w:endnote w:type="continuationSeparator" w:id="0">
    <w:p w:rsidR="00F44E99" w:rsidRDefault="00F4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E99" w:rsidRDefault="00F44E99">
      <w:r>
        <w:separator/>
      </w:r>
    </w:p>
  </w:footnote>
  <w:footnote w:type="continuationSeparator" w:id="0">
    <w:p w:rsidR="00F44E99" w:rsidRDefault="00F44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B557BD">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747E9E23" wp14:editId="38858EE4">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D1B7F"/>
    <w:multiLevelType w:val="hybridMultilevel"/>
    <w:tmpl w:val="F2043A14"/>
    <w:lvl w:ilvl="0" w:tplc="99167AD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3B5C"/>
    <w:rsid w:val="0006553F"/>
    <w:rsid w:val="000655B0"/>
    <w:rsid w:val="00065D9C"/>
    <w:rsid w:val="00066C99"/>
    <w:rsid w:val="000702F7"/>
    <w:rsid w:val="00072453"/>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4C27"/>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67"/>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BBC"/>
    <w:rsid w:val="00430CEB"/>
    <w:rsid w:val="004324DA"/>
    <w:rsid w:val="00432D0C"/>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4130"/>
    <w:rsid w:val="004969B1"/>
    <w:rsid w:val="004A11A7"/>
    <w:rsid w:val="004A501E"/>
    <w:rsid w:val="004A6C5F"/>
    <w:rsid w:val="004B1C8B"/>
    <w:rsid w:val="004B4E03"/>
    <w:rsid w:val="004C2768"/>
    <w:rsid w:val="004C7DAC"/>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352E"/>
    <w:rsid w:val="0061379E"/>
    <w:rsid w:val="006140C7"/>
    <w:rsid w:val="0061536F"/>
    <w:rsid w:val="00615A29"/>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4433"/>
    <w:rsid w:val="006E5559"/>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FB3"/>
    <w:rsid w:val="009F6D1C"/>
    <w:rsid w:val="00A01D8F"/>
    <w:rsid w:val="00A02D70"/>
    <w:rsid w:val="00A06D22"/>
    <w:rsid w:val="00A06DB3"/>
    <w:rsid w:val="00A07CDA"/>
    <w:rsid w:val="00A10A22"/>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57BD"/>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71C"/>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3355"/>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A1795"/>
    <w:rsid w:val="00EA3F6D"/>
    <w:rsid w:val="00EB0EDA"/>
    <w:rsid w:val="00EB2EAB"/>
    <w:rsid w:val="00EB3CEE"/>
    <w:rsid w:val="00EB4296"/>
    <w:rsid w:val="00EC31A3"/>
    <w:rsid w:val="00EC38D5"/>
    <w:rsid w:val="00EC3AC5"/>
    <w:rsid w:val="00EC4E33"/>
    <w:rsid w:val="00EC53D0"/>
    <w:rsid w:val="00EC7C4A"/>
    <w:rsid w:val="00ED31C0"/>
    <w:rsid w:val="00ED5D15"/>
    <w:rsid w:val="00EE1251"/>
    <w:rsid w:val="00EE55EA"/>
    <w:rsid w:val="00EE68FA"/>
    <w:rsid w:val="00EE6BE3"/>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4E99"/>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9743A"/>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C435FD-508B-4FC0-88B9-4C6679E7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314167"/>
    <w:pPr>
      <w:spacing w:before="240" w:after="60"/>
      <w:outlineLvl w:val="4"/>
    </w:pPr>
    <w:rPr>
      <w:b/>
      <w:bCs/>
      <w:i/>
      <w:i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character" w:customStyle="1" w:styleId="Antrat5Diagrama">
    <w:name w:val="Antraštė 5 Diagrama"/>
    <w:basedOn w:val="Numatytasispastraiposriftas"/>
    <w:link w:val="Antrat5"/>
    <w:rsid w:val="00314167"/>
    <w:rPr>
      <w:rFonts w:ascii="TimesLT" w:hAnsi="TimesLT"/>
      <w:b/>
      <w:bCs/>
      <w:i/>
      <w:iCs/>
      <w:sz w:val="26"/>
      <w:szCs w:val="26"/>
    </w:rPr>
  </w:style>
  <w:style w:type="paragraph" w:customStyle="1" w:styleId="DiagramaDiagrama1CharCharCharChar">
    <w:name w:val="Diagrama Diagrama1 Char Char Char Char"/>
    <w:basedOn w:val="prastasis"/>
    <w:rsid w:val="00314167"/>
    <w:pPr>
      <w:spacing w:after="160" w:line="240" w:lineRule="exact"/>
    </w:pPr>
    <w:rPr>
      <w:rFonts w:ascii="Tahoma" w:hAnsi="Tahoma"/>
      <w:sz w:val="20"/>
      <w:lang w:val="en-US" w:eastAsia="en-US"/>
    </w:rPr>
  </w:style>
  <w:style w:type="paragraph" w:customStyle="1" w:styleId="pavadinimas1">
    <w:name w:val="pavadinimas1"/>
    <w:basedOn w:val="prastasis"/>
    <w:rsid w:val="0031416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rs.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server\Vartotoju%20dokumentai\zitar\My%20Documents\Zitai\2016\Socmin2016\2017\Pajamos%202017.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erver\Vartotoju%20dokumentai\zitar\My%20Documents\Zitai\2016\Socmin2016\2017\Pajamos%202017.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server\Vartotoju%20dokumentai\zitar\My%20Documents\Julijos%20doc\2012\Kopija%20spaudai%20(1).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5782839305978E-4"/>
          <c:y val="0.12967581047381543"/>
          <c:w val="0.99961421716069399"/>
          <c:h val="0.77727672554444216"/>
        </c:manualLayout>
      </c:layout>
      <c:pie3DChart>
        <c:varyColors val="1"/>
        <c:ser>
          <c:idx val="0"/>
          <c:order val="0"/>
          <c:explosion val="26"/>
          <c:dPt>
            <c:idx val="0"/>
            <c:bubble3D val="0"/>
            <c:explosion val="24"/>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C98-4DEB-AC92-5092169DEB6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C98-4DEB-AC92-5092169DEB6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C98-4DEB-AC92-5092169DEB6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C98-4DEB-AC92-5092169DEB6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C98-4DEB-AC92-5092169DEB61}"/>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C98-4DEB-AC92-5092169DEB61}"/>
              </c:ext>
            </c:extLst>
          </c:dPt>
          <c:dLbls>
            <c:dLbl>
              <c:idx val="0"/>
              <c:layout>
                <c:manualLayout>
                  <c:x val="7.4904335093525579E-3"/>
                  <c:y val="0.2613005312135026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C98-4DEB-AC92-5092169DEB61}"/>
                </c:ext>
              </c:extLst>
            </c:dLbl>
            <c:dLbl>
              <c:idx val="1"/>
              <c:layout>
                <c:manualLayout>
                  <c:x val="-1.0308188168711147E-2"/>
                  <c:y val="0.15841916889575405"/>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C98-4DEB-AC92-5092169DEB61}"/>
                </c:ext>
              </c:extLst>
            </c:dLbl>
            <c:dLbl>
              <c:idx val="2"/>
              <c:layout>
                <c:manualLayout>
                  <c:x val="-7.918563016842331E-2"/>
                  <c:y val="7.9219274648025598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C98-4DEB-AC92-5092169DEB61}"/>
                </c:ext>
              </c:extLst>
            </c:dLbl>
            <c:dLbl>
              <c:idx val="3"/>
              <c:layout>
                <c:manualLayout>
                  <c:x val="3.3114859912148258E-3"/>
                  <c:y val="-0.3023263363899961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C98-4DEB-AC92-5092169DEB61}"/>
                </c:ext>
              </c:extLst>
            </c:dLbl>
            <c:dLbl>
              <c:idx val="4"/>
              <c:layout>
                <c:manualLayout>
                  <c:x val="-1.9875440970606749E-2"/>
                  <c:y val="-4.160360254220092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C98-4DEB-AC92-5092169DEB61}"/>
                </c:ext>
              </c:extLst>
            </c:dLbl>
            <c:dLbl>
              <c:idx val="5"/>
              <c:layout>
                <c:manualLayout>
                  <c:x val="5.1369529079536222E-2"/>
                  <c:y val="-3.667157565404075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4C98-4DEB-AC92-5092169DEB6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Lapas1!$I$1:$I$6</c:f>
              <c:strCache>
                <c:ptCount val="6"/>
                <c:pt idx="0">
                  <c:v>Pajamų ir pelno mokesčiai</c:v>
                </c:pt>
                <c:pt idx="1">
                  <c:v>Turto mokesčiai</c:v>
                </c:pt>
                <c:pt idx="2">
                  <c:v>Prekių ir paslaugų mokesčiai</c:v>
                </c:pt>
                <c:pt idx="3">
                  <c:v>Moksleivio krepšelio lėšos</c:v>
                </c:pt>
                <c:pt idx="4">
                  <c:v>Kitos dotacijos</c:v>
                </c:pt>
                <c:pt idx="5">
                  <c:v>Kitos pajamos</c:v>
                </c:pt>
              </c:strCache>
            </c:strRef>
          </c:cat>
          <c:val>
            <c:numRef>
              <c:f>Lapas1!$J$1:$J$6</c:f>
              <c:numCache>
                <c:formatCode>0.0</c:formatCode>
                <c:ptCount val="6"/>
                <c:pt idx="0">
                  <c:v>56.9</c:v>
                </c:pt>
                <c:pt idx="1">
                  <c:v>2.9</c:v>
                </c:pt>
                <c:pt idx="2">
                  <c:v>2</c:v>
                </c:pt>
                <c:pt idx="3">
                  <c:v>26.7</c:v>
                </c:pt>
                <c:pt idx="4">
                  <c:v>7</c:v>
                </c:pt>
                <c:pt idx="5">
                  <c:v>4.5</c:v>
                </c:pt>
              </c:numCache>
            </c:numRef>
          </c:val>
          <c:extLst>
            <c:ext xmlns:c16="http://schemas.microsoft.com/office/drawing/2014/chart" uri="{C3380CC4-5D6E-409C-BE32-E72D297353CC}">
              <c16:uniqueId val="{0000000C-4C98-4DEB-AC92-5092169DEB61}"/>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3997032936483E-2"/>
          <c:y val="3.70223076639601E-2"/>
          <c:w val="0.80476647753371022"/>
          <c:h val="0.74446116427334263"/>
        </c:manualLayout>
      </c:layout>
      <c:barChart>
        <c:barDir val="col"/>
        <c:grouping val="clustered"/>
        <c:varyColors val="0"/>
        <c:ser>
          <c:idx val="0"/>
          <c:order val="0"/>
          <c:tx>
            <c:strRef>
              <c:f>Lapas1!$C$26</c:f>
              <c:strCache>
                <c:ptCount val="1"/>
                <c:pt idx="0">
                  <c:v>2016</c:v>
                </c:pt>
              </c:strCache>
            </c:strRef>
          </c:tx>
          <c:spPr>
            <a:solidFill>
              <a:schemeClr val="accent1"/>
            </a:solidFill>
            <a:ln>
              <a:noFill/>
            </a:ln>
            <a:effectLst/>
          </c:spPr>
          <c:invertIfNegative val="0"/>
          <c:dLbls>
            <c:dLbl>
              <c:idx val="1"/>
              <c:layout>
                <c:manualLayout>
                  <c:x val="-4.6457607433217189E-3"/>
                  <c:y val="-3.5955056179775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57-42F0-85DE-2065036551ED}"/>
                </c:ext>
              </c:extLst>
            </c:dLbl>
            <c:dLbl>
              <c:idx val="2"/>
              <c:layout>
                <c:manualLayout>
                  <c:x val="-1.3937282229965157E-2"/>
                  <c:y val="-6.5917602996254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57-42F0-85DE-2065036551ED}"/>
                </c:ext>
              </c:extLst>
            </c:dLbl>
            <c:dLbl>
              <c:idx val="4"/>
              <c:layout>
                <c:manualLayout>
                  <c:x val="-4.6457607433217189E-3"/>
                  <c:y val="-4.1947565543071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57-42F0-85DE-2065036551E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Lapas1!$B$27:$B$33</c:f>
              <c:strCache>
                <c:ptCount val="6"/>
                <c:pt idx="0">
                  <c:v>Pajamų ir pelno mokesčiai</c:v>
                </c:pt>
                <c:pt idx="1">
                  <c:v>Turto mokesčiai</c:v>
                </c:pt>
                <c:pt idx="2">
                  <c:v>Prekių ir paslaugų mokesčiai</c:v>
                </c:pt>
                <c:pt idx="3">
                  <c:v>Moksleivio krepšelio lėšos</c:v>
                </c:pt>
                <c:pt idx="4">
                  <c:v>Kitos dotacijos</c:v>
                </c:pt>
                <c:pt idx="5">
                  <c:v>Kitos pajamos</c:v>
                </c:pt>
              </c:strCache>
            </c:strRef>
          </c:cat>
          <c:val>
            <c:numRef>
              <c:f>Lapas1!$C$27:$C$33</c:f>
              <c:numCache>
                <c:formatCode>0.0</c:formatCode>
                <c:ptCount val="7"/>
                <c:pt idx="0">
                  <c:v>30635</c:v>
                </c:pt>
                <c:pt idx="1">
                  <c:v>1603</c:v>
                </c:pt>
                <c:pt idx="2" formatCode="General">
                  <c:v>1265.5</c:v>
                </c:pt>
                <c:pt idx="3">
                  <c:v>14888</c:v>
                </c:pt>
                <c:pt idx="4" formatCode="General">
                  <c:v>4174.5</c:v>
                </c:pt>
                <c:pt idx="5">
                  <c:v>2054.5</c:v>
                </c:pt>
              </c:numCache>
            </c:numRef>
          </c:val>
          <c:extLst>
            <c:ext xmlns:c16="http://schemas.microsoft.com/office/drawing/2014/chart" uri="{C3380CC4-5D6E-409C-BE32-E72D297353CC}">
              <c16:uniqueId val="{00000003-E457-42F0-85DE-2065036551ED}"/>
            </c:ext>
          </c:extLst>
        </c:ser>
        <c:ser>
          <c:idx val="1"/>
          <c:order val="1"/>
          <c:tx>
            <c:strRef>
              <c:f>Lapas1!$D$26</c:f>
              <c:strCache>
                <c:ptCount val="1"/>
                <c:pt idx="0">
                  <c:v>2017</c:v>
                </c:pt>
              </c:strCache>
            </c:strRef>
          </c:tx>
          <c:spPr>
            <a:solidFill>
              <a:schemeClr val="accent2"/>
            </a:solidFill>
            <a:ln>
              <a:noFill/>
            </a:ln>
            <a:effectLst/>
          </c:spPr>
          <c:invertIfNegative val="0"/>
          <c:dLbls>
            <c:dLbl>
              <c:idx val="3"/>
              <c:layout>
                <c:manualLayout>
                  <c:x val="0"/>
                  <c:y val="-6.59176029962546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57-42F0-85DE-2065036551ED}"/>
                </c:ext>
              </c:extLst>
            </c:dLbl>
            <c:dLbl>
              <c:idx val="5"/>
              <c:layout>
                <c:manualLayout>
                  <c:x val="-1.1356172851753026E-16"/>
                  <c:y val="-5.3932584269662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57-42F0-85DE-2065036551E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Lapas1!$B$27:$B$33</c:f>
              <c:strCache>
                <c:ptCount val="6"/>
                <c:pt idx="0">
                  <c:v>Pajamų ir pelno mokesčiai</c:v>
                </c:pt>
                <c:pt idx="1">
                  <c:v>Turto mokesčiai</c:v>
                </c:pt>
                <c:pt idx="2">
                  <c:v>Prekių ir paslaugų mokesčiai</c:v>
                </c:pt>
                <c:pt idx="3">
                  <c:v>Moksleivio krepšelio lėšos</c:v>
                </c:pt>
                <c:pt idx="4">
                  <c:v>Kitos dotacijos</c:v>
                </c:pt>
                <c:pt idx="5">
                  <c:v>Kitos pajamos</c:v>
                </c:pt>
              </c:strCache>
            </c:strRef>
          </c:cat>
          <c:val>
            <c:numRef>
              <c:f>Lapas1!$D$27:$D$33</c:f>
              <c:numCache>
                <c:formatCode>0.0</c:formatCode>
                <c:ptCount val="7"/>
                <c:pt idx="0">
                  <c:v>34057</c:v>
                </c:pt>
                <c:pt idx="1">
                  <c:v>1720</c:v>
                </c:pt>
                <c:pt idx="2" formatCode="General">
                  <c:v>1199.5</c:v>
                </c:pt>
                <c:pt idx="3">
                  <c:v>15980.4</c:v>
                </c:pt>
                <c:pt idx="4" formatCode="General">
                  <c:v>4184.3</c:v>
                </c:pt>
                <c:pt idx="5" formatCode="General">
                  <c:v>2667.5</c:v>
                </c:pt>
              </c:numCache>
            </c:numRef>
          </c:val>
          <c:extLst>
            <c:ext xmlns:c16="http://schemas.microsoft.com/office/drawing/2014/chart" uri="{C3380CC4-5D6E-409C-BE32-E72D297353CC}">
              <c16:uniqueId val="{00000006-E457-42F0-85DE-2065036551ED}"/>
            </c:ext>
          </c:extLst>
        </c:ser>
        <c:dLbls>
          <c:showLegendKey val="0"/>
          <c:showVal val="0"/>
          <c:showCatName val="0"/>
          <c:showSerName val="0"/>
          <c:showPercent val="0"/>
          <c:showBubbleSize val="0"/>
        </c:dLbls>
        <c:gapWidth val="219"/>
        <c:overlap val="-27"/>
        <c:axId val="627786752"/>
        <c:axId val="627992256"/>
      </c:barChart>
      <c:catAx>
        <c:axId val="62778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crossAx val="627992256"/>
        <c:crosses val="autoZero"/>
        <c:auto val="1"/>
        <c:lblAlgn val="ctr"/>
        <c:lblOffset val="100"/>
        <c:noMultiLvlLbl val="0"/>
      </c:catAx>
      <c:valAx>
        <c:axId val="627992256"/>
        <c:scaling>
          <c:orientation val="minMax"/>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defTabSz="0">
              <a:defRPr sz="900" b="0" i="0" u="none" strike="noStrike" kern="1200" baseline="0">
                <a:solidFill>
                  <a:schemeClr val="tx1">
                    <a:lumMod val="65000"/>
                    <a:lumOff val="35000"/>
                  </a:schemeClr>
                </a:solidFill>
                <a:latin typeface="+mn-lt"/>
                <a:ea typeface="+mn-ea"/>
                <a:cs typeface="+mn-cs"/>
              </a:defRPr>
            </a:pPr>
            <a:endParaRPr lang="lt-LT"/>
          </a:p>
        </c:txPr>
        <c:crossAx val="627786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25" cap="flat" cmpd="sng" algn="ctr">
      <a:noFill/>
      <a:round/>
    </a:ln>
    <a:effectLst/>
  </c:spPr>
  <c:txPr>
    <a:bodyPr/>
    <a:lstStyle/>
    <a:p>
      <a:pPr algn="ctr" defTabSz="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166941165170084E-4"/>
          <c:y val="0.17728736288916266"/>
          <c:w val="0.5805555555555556"/>
          <c:h val="0.77736111111111106"/>
        </c:manualLayout>
      </c:layout>
      <c:pie3DChart>
        <c:varyColors val="1"/>
        <c:ser>
          <c:idx val="0"/>
          <c:order val="0"/>
          <c:tx>
            <c:strRef>
              <c:f>Lapas1!$B$82</c:f>
              <c:strCache>
                <c:ptCount val="1"/>
                <c:pt idx="0">
                  <c:v>Proc.</c:v>
                </c:pt>
              </c:strCache>
            </c:strRef>
          </c:tx>
          <c:explosion val="37"/>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7E6-4A80-B632-CB5C1AE26EC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7E6-4A80-B632-CB5C1AE26EC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7E6-4A80-B632-CB5C1AE26EC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7E6-4A80-B632-CB5C1AE26EC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7E6-4A80-B632-CB5C1AE26EC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77E6-4A80-B632-CB5C1AE26EC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7E6-4A80-B632-CB5C1AE26EC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77E6-4A80-B632-CB5C1AE26EC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7E6-4A80-B632-CB5C1AE26ECE}"/>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77E6-4A80-B632-CB5C1AE26ECE}"/>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77E6-4A80-B632-CB5C1AE26ECE}"/>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77E6-4A80-B632-CB5C1AE26ECE}"/>
              </c:ext>
            </c:extLst>
          </c:dPt>
          <c:dLbls>
            <c:dLbl>
              <c:idx val="0"/>
              <c:layout>
                <c:manualLayout>
                  <c:x val="-2.8538570749158349E-2"/>
                  <c:y val="-9.56901815844448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E6-4A80-B632-CB5C1AE26ECE}"/>
                </c:ext>
              </c:extLst>
            </c:dLbl>
            <c:dLbl>
              <c:idx val="1"/>
              <c:layout>
                <c:manualLayout>
                  <c:x val="3.3063549722495578E-3"/>
                  <c:y val="-0.114999434594485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E6-4A80-B632-CB5C1AE26ECE}"/>
                </c:ext>
              </c:extLst>
            </c:dLbl>
            <c:dLbl>
              <c:idx val="2"/>
              <c:layout>
                <c:manualLayout>
                  <c:x val="2.3074786394870265E-2"/>
                  <c:y val="-5.0612721028919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E6-4A80-B632-CB5C1AE26ECE}"/>
                </c:ext>
              </c:extLst>
            </c:dLbl>
            <c:dLbl>
              <c:idx val="3"/>
              <c:layout>
                <c:manualLayout>
                  <c:x val="1.7972745578543736E-2"/>
                  <c:y val="-7.0504520268299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E6-4A80-B632-CB5C1AE26ECE}"/>
                </c:ext>
              </c:extLst>
            </c:dLbl>
            <c:dLbl>
              <c:idx val="4"/>
              <c:layout>
                <c:manualLayout>
                  <c:x val="4.8566101621454458E-2"/>
                  <c:y val="3.46682855119300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E6-4A80-B632-CB5C1AE26ECE}"/>
                </c:ext>
              </c:extLst>
            </c:dLbl>
            <c:dLbl>
              <c:idx val="5"/>
              <c:layout>
                <c:manualLayout>
                  <c:x val="2.6678311377357808E-2"/>
                  <c:y val="7.5729105290410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E6-4A80-B632-CB5C1AE26ECE}"/>
                </c:ext>
              </c:extLst>
            </c:dLbl>
            <c:dLbl>
              <c:idx val="6"/>
              <c:layout>
                <c:manualLayout>
                  <c:x val="1.0307457847103943E-2"/>
                  <c:y val="0.173137167377887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E6-4A80-B632-CB5C1AE26ECE}"/>
                </c:ext>
              </c:extLst>
            </c:dLbl>
            <c:dLbl>
              <c:idx val="7"/>
              <c:layout>
                <c:manualLayout>
                  <c:x val="-9.8643311646780169E-2"/>
                  <c:y val="8.82958677784324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E6-4A80-B632-CB5C1AE26ECE}"/>
                </c:ext>
              </c:extLst>
            </c:dLbl>
            <c:dLbl>
              <c:idx val="8"/>
              <c:layout>
                <c:manualLayout>
                  <c:x val="2.7152436281595638E-2"/>
                  <c:y val="0.112226685949970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E6-4A80-B632-CB5C1AE26ECE}"/>
                </c:ext>
              </c:extLst>
            </c:dLbl>
            <c:dLbl>
              <c:idx val="9"/>
              <c:layout>
                <c:manualLayout>
                  <c:x val="-7.615019948973735E-2"/>
                  <c:y val="1.5456639348652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E6-4A80-B632-CB5C1AE26ECE}"/>
                </c:ext>
              </c:extLst>
            </c:dLbl>
            <c:dLbl>
              <c:idx val="10"/>
              <c:layout>
                <c:manualLayout>
                  <c:x val="-5.1127005732840722E-2"/>
                  <c:y val="-4.4717029418941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E6-4A80-B632-CB5C1AE26ECE}"/>
                </c:ext>
              </c:extLst>
            </c:dLbl>
            <c:dLbl>
              <c:idx val="11"/>
              <c:layout>
                <c:manualLayout>
                  <c:x val="2.0591634082171496E-2"/>
                  <c:y val="-8.7506918778009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E6-4A80-B632-CB5C1AE26EC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Lapas1!$A$83:$A$94</c:f>
              <c:strCache>
                <c:ptCount val="12"/>
                <c:pt idx="0">
                  <c:v>Savivaldybės valdymo programa </c:v>
                </c:pt>
                <c:pt idx="1">
                  <c:v>Savivaldybės politikos įgyvendinimo programa.</c:v>
                </c:pt>
                <c:pt idx="2">
                  <c:v>Kauno rajono verslo plėtros ir investicijų programa   </c:v>
                </c:pt>
                <c:pt idx="3">
                  <c:v>Žemės ūkio programa</c:v>
                </c:pt>
                <c:pt idx="4">
                  <c:v>Komunalinio ūkio plėtros ir priežiūros programa  </c:v>
                </c:pt>
                <c:pt idx="5">
                  <c:v>Turto administravimo programa</c:v>
                </c:pt>
                <c:pt idx="6">
                  <c:v>Aplinkos ir sveikatinimo  programa</c:v>
                </c:pt>
                <c:pt idx="7">
                  <c:v>Kultūros plėtros programa</c:v>
                </c:pt>
                <c:pt idx="8">
                  <c:v>Švietimo ir ugdymo programa</c:v>
                </c:pt>
                <c:pt idx="9">
                  <c:v>Socialinės paramos įgyvendinimo  programa   </c:v>
                </c:pt>
                <c:pt idx="10">
                  <c:v>Kūno kultūros ir sporto plėtojimo programa</c:v>
                </c:pt>
                <c:pt idx="11">
                  <c:v>Kelių priežiūros ir viešojo transporto paslaugų įgyvendinimo programa</c:v>
                </c:pt>
              </c:strCache>
            </c:strRef>
          </c:cat>
          <c:val>
            <c:numRef>
              <c:f>Lapas1!$B$83:$B$94</c:f>
              <c:numCache>
                <c:formatCode>0.0%</c:formatCode>
                <c:ptCount val="12"/>
                <c:pt idx="0">
                  <c:v>0.20455083870203541</c:v>
                </c:pt>
                <c:pt idx="1">
                  <c:v>1.5420074887635644E-2</c:v>
                </c:pt>
                <c:pt idx="2">
                  <c:v>5.3053085989168282E-2</c:v>
                </c:pt>
                <c:pt idx="3">
                  <c:v>5.7004757799698613E-3</c:v>
                </c:pt>
                <c:pt idx="4">
                  <c:v>3.5974690874632308E-2</c:v>
                </c:pt>
                <c:pt idx="5">
                  <c:v>1.266772395548858E-3</c:v>
                </c:pt>
                <c:pt idx="6">
                  <c:v>2.0383519455649805E-2</c:v>
                </c:pt>
                <c:pt idx="7">
                  <c:v>4.0819683997867874E-2</c:v>
                </c:pt>
                <c:pt idx="8">
                  <c:v>0.51065075907634194</c:v>
                </c:pt>
                <c:pt idx="9">
                  <c:v>7.5876376175466081E-2</c:v>
                </c:pt>
                <c:pt idx="10">
                  <c:v>7.3884088680648335E-3</c:v>
                </c:pt>
                <c:pt idx="11">
                  <c:v>2.8915313797619129E-2</c:v>
                </c:pt>
              </c:numCache>
            </c:numRef>
          </c:val>
          <c:extLst>
            <c:ext xmlns:c16="http://schemas.microsoft.com/office/drawing/2014/chart" uri="{C3380CC4-5D6E-409C-BE32-E72D297353CC}">
              <c16:uniqueId val="{00000018-77E6-4A80-B632-CB5C1AE26ECE}"/>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6760630766564799"/>
          <c:y val="6.4232283464566928E-2"/>
          <c:w val="0.33239362499677866"/>
          <c:h val="0.854150374060385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mero_blank.dot</Template>
  <TotalTime>0</TotalTime>
  <Pages>9</Pages>
  <Words>9691</Words>
  <Characters>5525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Svajunas</cp:lastModifiedBy>
  <cp:revision>2</cp:revision>
  <cp:lastPrinted>2017-02-23T13:43:00Z</cp:lastPrinted>
  <dcterms:created xsi:type="dcterms:W3CDTF">2018-11-21T06:16:00Z</dcterms:created>
  <dcterms:modified xsi:type="dcterms:W3CDTF">2018-11-21T06:16:00Z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4073d593-8b77-439f-8424-0288de0ec41a</vt:lpwstr>
  </property>
</Properties>
</file>