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CB" w:rsidRPr="0024659D" w:rsidRDefault="000443CB" w:rsidP="004F46F1">
      <w:pPr>
        <w:spacing w:after="0" w:line="240" w:lineRule="auto"/>
        <w:ind w:left="7371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78809084"/>
      <w:r w:rsidRPr="0024659D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0443CB" w:rsidRPr="0024659D" w:rsidRDefault="000443CB" w:rsidP="004F46F1">
      <w:pPr>
        <w:spacing w:after="0" w:line="240" w:lineRule="auto"/>
        <w:ind w:left="7371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24659D">
        <w:rPr>
          <w:rFonts w:ascii="Times New Roman" w:hAnsi="Times New Roman" w:cs="Times New Roman"/>
          <w:sz w:val="24"/>
          <w:szCs w:val="24"/>
          <w:lang w:val="lt-LT"/>
        </w:rPr>
        <w:t>Kauno rajono savivaldybės</w:t>
      </w:r>
    </w:p>
    <w:p w:rsidR="000443CB" w:rsidRPr="0024659D" w:rsidRDefault="000443CB" w:rsidP="004F46F1">
      <w:pPr>
        <w:spacing w:after="0" w:line="240" w:lineRule="auto"/>
        <w:ind w:left="7371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24659D">
        <w:rPr>
          <w:rFonts w:ascii="Times New Roman" w:hAnsi="Times New Roman" w:cs="Times New Roman"/>
          <w:sz w:val="24"/>
          <w:szCs w:val="24"/>
          <w:lang w:val="lt-LT"/>
        </w:rPr>
        <w:t>administracijos direktoriaus</w:t>
      </w:r>
    </w:p>
    <w:p w:rsidR="000443CB" w:rsidRPr="0024659D" w:rsidRDefault="000443CB" w:rsidP="004F46F1">
      <w:pPr>
        <w:spacing w:after="0" w:line="240" w:lineRule="auto"/>
        <w:ind w:left="7371" w:right="-212" w:firstLine="52"/>
        <w:rPr>
          <w:rFonts w:ascii="Times New Roman" w:hAnsi="Times New Roman" w:cs="Times New Roman"/>
          <w:sz w:val="24"/>
          <w:szCs w:val="24"/>
          <w:lang w:val="lt-LT"/>
        </w:rPr>
      </w:pPr>
      <w:r w:rsidRPr="0024659D">
        <w:rPr>
          <w:rFonts w:ascii="Times New Roman" w:hAnsi="Times New Roman" w:cs="Times New Roman"/>
          <w:sz w:val="24"/>
          <w:szCs w:val="24"/>
          <w:lang w:val="lt-LT"/>
        </w:rPr>
        <w:t>2022-</w:t>
      </w:r>
      <w:r w:rsidR="0085545F" w:rsidRPr="0024659D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49746F" w:rsidRPr="0024659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8B1AEB" w:rsidRPr="0024659D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24659D">
        <w:rPr>
          <w:rFonts w:ascii="Times New Roman" w:hAnsi="Times New Roman" w:cs="Times New Roman"/>
          <w:sz w:val="24"/>
          <w:szCs w:val="24"/>
          <w:lang w:val="lt-LT"/>
        </w:rPr>
        <w:t xml:space="preserve">   įsakymu Nr. ĮS-</w:t>
      </w:r>
    </w:p>
    <w:bookmarkEnd w:id="0"/>
    <w:p w:rsidR="000443CB" w:rsidRPr="0024659D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24659D" w:rsidRDefault="002E08DA" w:rsidP="004F46F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  <w:bookmarkStart w:id="1" w:name="_Hlk78809094"/>
      <w:r w:rsidRPr="0024659D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KAUNO RAJONO SAVIVALDYBĖS ADMINISTRACIJOS DIREKTORIAUS 2003-10-17 ĮSAKYMU NR. ĮS-974 PATVIRTINTO ŽEMĖS SKLYPO KAUNO R. SAV., UŽLIEDŽIŲ SEN., GIRAITĖS K., KADASTRO NR. </w:t>
      </w:r>
      <w:r w:rsidRPr="0024659D">
        <w:rPr>
          <w:rFonts w:ascii="Times New Roman" w:hAnsi="Times New Roman"/>
          <w:b/>
          <w:sz w:val="24"/>
          <w:szCs w:val="24"/>
          <w:lang w:val="lt-LT"/>
        </w:rPr>
        <w:t>5283/0006:247,</w:t>
      </w:r>
      <w:r w:rsidRPr="0024659D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DETALIOJO PLANO KOREGAVIMO ŽEMĖS SKLYPE KADASTRO NR. </w:t>
      </w:r>
      <w:r w:rsidRPr="0024659D">
        <w:rPr>
          <w:rFonts w:ascii="Times New Roman" w:hAnsi="Times New Roman"/>
          <w:b/>
          <w:sz w:val="24"/>
          <w:szCs w:val="24"/>
          <w:lang w:val="lt-LT"/>
        </w:rPr>
        <w:t>5283/0006:293 (PLOTAS – 2,4940 HA)</w:t>
      </w:r>
      <w:r w:rsidRPr="0024659D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 xml:space="preserve">, </w:t>
      </w:r>
      <w:r w:rsidR="000443CB" w:rsidRPr="0024659D">
        <w:rPr>
          <w:rFonts w:ascii="Times New Roman" w:hAnsi="Times New Roman" w:cs="Times New Roman"/>
          <w:b/>
          <w:spacing w:val="-4"/>
          <w:sz w:val="24"/>
          <w:szCs w:val="24"/>
          <w:lang w:val="lt-LT"/>
        </w:rPr>
        <w:t>DARBŲ PROGRAMA</w:t>
      </w:r>
    </w:p>
    <w:bookmarkEnd w:id="1"/>
    <w:p w:rsidR="000443CB" w:rsidRPr="0024659D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tbl>
      <w:tblPr>
        <w:tblpPr w:leftFromText="180" w:rightFromText="180" w:vertAnchor="text" w:tblpX="-289" w:tblpY="1"/>
        <w:tblOverlap w:val="never"/>
        <w:tblW w:w="103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1806"/>
        <w:gridCol w:w="6096"/>
        <w:gridCol w:w="1986"/>
      </w:tblGrid>
      <w:tr w:rsidR="0085545F" w:rsidRPr="0024659D" w:rsidTr="008B1AEB">
        <w:trPr>
          <w:cantSplit/>
          <w:trHeight w:val="36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PROCEDŪROS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PRELIMINARUS ATLIKIMO TERMINAS</w:t>
            </w:r>
          </w:p>
        </w:tc>
      </w:tr>
      <w:tr w:rsidR="0085545F" w:rsidRPr="0024659D" w:rsidTr="00190961">
        <w:trPr>
          <w:cantSplit/>
          <w:trHeight w:val="1802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193D09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Esamos būklės analizės stadija,</w:t>
            </w:r>
            <w:r w:rsidR="00193D09"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tyrimai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Default="000443CB" w:rsidP="008B1A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Esamos būklės brėžinyje ir</w:t>
            </w:r>
            <w:r w:rsidRPr="002465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aiškinamajame rašte apibūdinti kraštovaizdį, želdynus, urbanistines struktūras, inžinerinę ir socialinę infrastruktūrą, nustatyti teritorijos plėtros tende</w:t>
            </w:r>
            <w:r w:rsidR="009E02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ncijas, problemines situacijas</w:t>
            </w:r>
          </w:p>
          <w:p w:rsidR="00A72B7B" w:rsidRPr="0024659D" w:rsidRDefault="00592853" w:rsidP="008B1AEB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lt-LT"/>
              </w:rPr>
            </w:pPr>
            <w:r>
              <w:object w:dxaOrig="3630" w:dyaOrig="5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1.5pt;height:258pt" o:ole="">
                  <v:imagedata r:id="rId4" o:title=""/>
                </v:shape>
                <o:OLEObject Type="Embed" ProgID="PBrush" ShapeID="_x0000_i1032" DrawAspect="Content" ObjectID="_1710056067" r:id="rId5"/>
              </w:object>
            </w:r>
            <w:bookmarkStart w:id="2" w:name="_GoBack"/>
            <w:bookmarkEnd w:id="2"/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2022 m.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br/>
            </w:r>
            <w:r w:rsidR="0024659D"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I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I ketvirtis</w:t>
            </w:r>
          </w:p>
        </w:tc>
      </w:tr>
      <w:tr w:rsidR="0085545F" w:rsidRPr="0024659D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Koncepcijos nustatymo stadija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CE0AC6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Koncepcija </w:t>
            </w:r>
            <w:r w:rsidR="00A95D57"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ne</w:t>
            </w:r>
            <w:r w:rsidR="000443CB"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rengiama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85545F" w:rsidRPr="0024659D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193D09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SPAV</w:t>
            </w:r>
            <w:r w:rsidR="00193D09"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reikalingumas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A95D57" w:rsidP="00A15907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lang w:val="lt-LT"/>
              </w:rPr>
              <w:t>Nerengiamas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85545F" w:rsidRPr="0024659D" w:rsidTr="008B1AEB">
        <w:trPr>
          <w:cantSplit/>
          <w:trHeight w:val="625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Urbanistinės idėjos rengimas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Nerengiama. Atviras konkursas geriausiai urbanistinei idėjai parengti neorganizuojamas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45F" w:rsidRPr="0024659D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Sprendinių konkretizavimo stadija, planavimo uždaviniai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DF3797">
            <w:pP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pacing w:val="4"/>
                <w:sz w:val="24"/>
                <w:szCs w:val="24"/>
                <w:lang w:val="lt-LT"/>
              </w:rPr>
              <w:t>Numatomos teritorijos naudojimo ir apsaugos priemonės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br/>
              <w:t xml:space="preserve">statybų bei aplinkos tvarkymo priemonės, statybos reglamentai, nustatomas teritorijos naudojimo tipas </w:t>
            </w:r>
            <w:r w:rsidRPr="0024659D"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  <w:lang w:val="lt-LT"/>
              </w:rPr>
              <w:t>(vadovaujantis LR Žemės ūkio ministro ir LR Aplinkos ministro 2005-01-20 įsakymu Nr. 3D-37/D1-40 (aktuali redakcija)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.</w:t>
            </w:r>
          </w:p>
          <w:p w:rsidR="000443CB" w:rsidRPr="0024659D" w:rsidRDefault="00353238" w:rsidP="004F0B2D">
            <w:pPr>
              <w:tabs>
                <w:tab w:val="left" w:pos="3435"/>
              </w:tabs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i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lt-LT"/>
              </w:rPr>
              <w:t>Tikslai ir u</w:t>
            </w:r>
            <w:r w:rsidR="000443CB" w:rsidRPr="0024659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lt-LT"/>
              </w:rPr>
              <w:t>ždaviniai</w:t>
            </w:r>
            <w:r w:rsidR="000443CB" w:rsidRPr="006702EB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  <w:r w:rsidR="000443CB" w:rsidRPr="0024659D">
              <w:rPr>
                <w:rFonts w:ascii="Times New Roman" w:eastAsia="Verdana" w:hAnsi="Times New Roman" w:cs="Times New Roman"/>
                <w:b/>
                <w:bCs/>
                <w:i/>
                <w:color w:val="FF0000"/>
                <w:sz w:val="24"/>
                <w:szCs w:val="24"/>
                <w:lang w:val="lt-LT"/>
              </w:rPr>
              <w:tab/>
            </w:r>
          </w:p>
          <w:p w:rsidR="0024659D" w:rsidRPr="0024659D" w:rsidRDefault="0024659D" w:rsidP="00F0141C">
            <w:pPr>
              <w:tabs>
                <w:tab w:val="left" w:pos="5761"/>
              </w:tabs>
              <w:spacing w:after="0" w:line="240" w:lineRule="auto"/>
              <w:ind w:right="224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padalinti žemės sklypą </w:t>
            </w:r>
            <w:r w:rsidRPr="0024659D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kadastro Nr. </w:t>
            </w:r>
            <w:r w:rsidRPr="0024659D">
              <w:rPr>
                <w:rFonts w:ascii="Times New Roman" w:hAnsi="Times New Roman"/>
                <w:sz w:val="24"/>
                <w:szCs w:val="24"/>
                <w:lang w:val="lt-LT"/>
              </w:rPr>
              <w:t>5283/0006:293 į du ar daugiau žemės sklyp</w:t>
            </w:r>
            <w:r w:rsidRPr="00B172CD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B172C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24659D">
              <w:rPr>
                <w:rFonts w:ascii="Times New Roman" w:hAnsi="Times New Roman"/>
                <w:sz w:val="24"/>
                <w:szCs w:val="24"/>
                <w:lang w:val="lt-LT"/>
              </w:rPr>
              <w:t>nustatyti teritorijos naudojimo reglamentą (-</w:t>
            </w:r>
            <w:proofErr w:type="spellStart"/>
            <w:r w:rsidRPr="0024659D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proofErr w:type="spellEnd"/>
            <w:r w:rsidRPr="0024659D">
              <w:rPr>
                <w:rFonts w:ascii="Times New Roman" w:hAnsi="Times New Roman"/>
                <w:sz w:val="24"/>
                <w:szCs w:val="24"/>
                <w:lang w:val="lt-LT"/>
              </w:rPr>
              <w:t>) – teritorijos naudojimo tipą, žemės naudojimo būdus, pertvarkymo principus ir kita.</w:t>
            </w:r>
          </w:p>
          <w:p w:rsidR="000443CB" w:rsidRPr="0024659D" w:rsidRDefault="000443CB" w:rsidP="00F0141C">
            <w:pPr>
              <w:tabs>
                <w:tab w:val="left" w:pos="5761"/>
              </w:tabs>
              <w:spacing w:line="240" w:lineRule="auto"/>
              <w:ind w:right="82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Planavimo sprendiniai turi neprieštarauti Kauno rajono savivaldybės teritorijos bendrojo plano I-</w:t>
            </w:r>
            <w:proofErr w:type="spellStart"/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ojo</w:t>
            </w:r>
            <w:proofErr w:type="spellEnd"/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 pakeitimo patvirtinto Kauno rajono savivaldybės tarybos 2014-08-28 sprendimu Nr. TS-299, 2017-11-16 sprendimu Nr. TS-411,</w:t>
            </w:r>
            <w:r w:rsidRPr="002465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Kauno rajono savivaldybės tarybos 2020-06-16 sprendimu Nr. TS-233 sprendiniams.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DC20AE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2022 m.</w:t>
            </w:r>
            <w:r w:rsidR="00DC20AE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141C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II </w:t>
            </w:r>
            <w:r w:rsidR="007E3F55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- III ketvirčiai</w:t>
            </w:r>
          </w:p>
        </w:tc>
      </w:tr>
      <w:tr w:rsidR="0085545F" w:rsidRPr="0024659D" w:rsidTr="008B1AEB">
        <w:trPr>
          <w:cantSplit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ind w:right="78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Sprendinių vertinimas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Neatliekamas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45F" w:rsidRPr="0024659D" w:rsidTr="008B1AEB">
        <w:trPr>
          <w:cantSplit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b/>
                <w:sz w:val="24"/>
                <w:szCs w:val="24"/>
                <w:lang w:val="lt-LT"/>
              </w:rPr>
              <w:t>Baigiamasis etapas</w:t>
            </w: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2022 m. </w:t>
            </w:r>
            <w:r w:rsidR="004E3560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II - </w:t>
            </w: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III </w:t>
            </w:r>
            <w:r w:rsidR="00042CB0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ketvir</w:t>
            </w:r>
            <w:r w:rsidR="004E3560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čiai</w:t>
            </w:r>
          </w:p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45F" w:rsidRPr="0024659D" w:rsidTr="008B1AEB">
        <w:trPr>
          <w:cantSplit/>
          <w:trHeight w:val="911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8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b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  <w:r w:rsidRPr="0024659D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2022 m. </w:t>
            </w:r>
            <w:r w:rsidR="00F0141C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 xml:space="preserve">III </w:t>
            </w:r>
            <w:r w:rsidR="004E3560"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  <w:t>- IV ketvirčiai</w:t>
            </w:r>
          </w:p>
          <w:p w:rsidR="000443CB" w:rsidRPr="0024659D" w:rsidRDefault="000443CB" w:rsidP="008B1AEB">
            <w:pPr>
              <w:spacing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443CB" w:rsidRPr="0024659D" w:rsidRDefault="000443CB" w:rsidP="000443CB">
      <w:pPr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0443CB" w:rsidRPr="0024659D" w:rsidRDefault="000443CB" w:rsidP="000443CB">
      <w:pPr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0443CB" w:rsidRPr="0024659D" w:rsidRDefault="000443CB" w:rsidP="000443CB">
      <w:pPr>
        <w:spacing w:line="240" w:lineRule="auto"/>
        <w:ind w:right="19"/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24659D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24659D" w:rsidRDefault="000443CB" w:rsidP="000443CB">
      <w:pPr>
        <w:spacing w:line="240" w:lineRule="auto"/>
        <w:ind w:right="19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  <w:lang w:val="lt-LT"/>
        </w:rPr>
      </w:pPr>
    </w:p>
    <w:p w:rsidR="000443CB" w:rsidRPr="0024659D" w:rsidRDefault="000443CB" w:rsidP="000443CB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val="lt-LT"/>
        </w:rPr>
      </w:pPr>
    </w:p>
    <w:p w:rsidR="000443CB" w:rsidRPr="0024659D" w:rsidRDefault="000443CB" w:rsidP="000443CB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val="lt-LT"/>
        </w:rPr>
      </w:pPr>
    </w:p>
    <w:p w:rsidR="000443CB" w:rsidRPr="0024659D" w:rsidRDefault="000443CB" w:rsidP="000443CB">
      <w:pPr>
        <w:jc w:val="center"/>
        <w:rPr>
          <w:rFonts w:ascii="Times New Roman" w:eastAsia="Verdana" w:hAnsi="Times New Roman" w:cs="Times New Roman"/>
          <w:color w:val="FF0000"/>
          <w:sz w:val="24"/>
          <w:szCs w:val="24"/>
          <w:lang w:val="lt-LT"/>
        </w:rPr>
      </w:pPr>
    </w:p>
    <w:p w:rsidR="004117FA" w:rsidRPr="0024659D" w:rsidRDefault="004117FA">
      <w:pPr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sectPr w:rsidR="004117FA" w:rsidRPr="0024659D" w:rsidSect="004F46F1">
      <w:pgSz w:w="12240" w:h="15840"/>
      <w:pgMar w:top="568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CB"/>
    <w:rsid w:val="00042CB0"/>
    <w:rsid w:val="000443CB"/>
    <w:rsid w:val="00070371"/>
    <w:rsid w:val="00190961"/>
    <w:rsid w:val="00193D09"/>
    <w:rsid w:val="001D4C2D"/>
    <w:rsid w:val="0023798D"/>
    <w:rsid w:val="0024659D"/>
    <w:rsid w:val="002E08DA"/>
    <w:rsid w:val="002F3371"/>
    <w:rsid w:val="00336C72"/>
    <w:rsid w:val="00353238"/>
    <w:rsid w:val="003B3D9F"/>
    <w:rsid w:val="004117FA"/>
    <w:rsid w:val="00435863"/>
    <w:rsid w:val="0048066D"/>
    <w:rsid w:val="0049746F"/>
    <w:rsid w:val="004E3560"/>
    <w:rsid w:val="004F0B2D"/>
    <w:rsid w:val="004F46F1"/>
    <w:rsid w:val="00592853"/>
    <w:rsid w:val="005B52ED"/>
    <w:rsid w:val="006702EB"/>
    <w:rsid w:val="00770441"/>
    <w:rsid w:val="0078735E"/>
    <w:rsid w:val="007E3F55"/>
    <w:rsid w:val="008235BF"/>
    <w:rsid w:val="0085545F"/>
    <w:rsid w:val="008B1AEB"/>
    <w:rsid w:val="008C4757"/>
    <w:rsid w:val="00973332"/>
    <w:rsid w:val="009E02BB"/>
    <w:rsid w:val="00A15907"/>
    <w:rsid w:val="00A6753E"/>
    <w:rsid w:val="00A72B7B"/>
    <w:rsid w:val="00A95D57"/>
    <w:rsid w:val="00AB72FC"/>
    <w:rsid w:val="00AD61F2"/>
    <w:rsid w:val="00B172CD"/>
    <w:rsid w:val="00B332A6"/>
    <w:rsid w:val="00B54808"/>
    <w:rsid w:val="00BD4613"/>
    <w:rsid w:val="00CC0EFF"/>
    <w:rsid w:val="00CE0AC6"/>
    <w:rsid w:val="00D27CB1"/>
    <w:rsid w:val="00DA644F"/>
    <w:rsid w:val="00DC20AE"/>
    <w:rsid w:val="00DF3797"/>
    <w:rsid w:val="00E615A9"/>
    <w:rsid w:val="00ED575E"/>
    <w:rsid w:val="00F0141C"/>
    <w:rsid w:val="00F54372"/>
    <w:rsid w:val="00F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4DF17-FC64-4E03-8A05-569846D2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2022-02-14T13:38:00Z</dcterms:created>
  <dcterms:modified xsi:type="dcterms:W3CDTF">2022-03-29T07:48:00Z</dcterms:modified>
</cp:coreProperties>
</file>