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6A339" w14:textId="77777777" w:rsidR="003633EE" w:rsidRDefault="003633EE" w:rsidP="00F92C15">
      <w:pPr>
        <w:rPr>
          <w:szCs w:val="24"/>
        </w:rPr>
      </w:pPr>
    </w:p>
    <w:p w14:paraId="1070C19D" w14:textId="77777777" w:rsidR="003633EE" w:rsidRDefault="003633EE" w:rsidP="00F92C15">
      <w:pPr>
        <w:jc w:val="center"/>
        <w:rPr>
          <w:b/>
          <w:caps/>
          <w:szCs w:val="24"/>
        </w:rPr>
      </w:pPr>
      <w:r>
        <w:rPr>
          <w:b/>
          <w:caps/>
          <w:szCs w:val="24"/>
        </w:rPr>
        <w:t>LIETUVOS RESPUBLIKOS SPECIALIŲJŲ TYRIMŲ TARNYBOS ANTIKORUPCINIO VERTINIMO IŠVADOS</w:t>
      </w:r>
    </w:p>
    <w:p w14:paraId="50C059D5" w14:textId="77777777" w:rsidR="003633EE" w:rsidRDefault="003633EE" w:rsidP="00F92C15">
      <w:pPr>
        <w:ind w:firstLine="62"/>
        <w:jc w:val="center"/>
        <w:rPr>
          <w:szCs w:val="24"/>
        </w:rPr>
      </w:pPr>
      <w:r>
        <w:rPr>
          <w:b/>
          <w:szCs w:val="24"/>
        </w:rPr>
        <w:t>ĮGYVENDINIMO PAŽYMA</w:t>
      </w:r>
    </w:p>
    <w:p w14:paraId="7E432A40" w14:textId="77777777" w:rsidR="003633EE" w:rsidRDefault="003633EE" w:rsidP="003633EE">
      <w:pPr>
        <w:spacing w:line="276" w:lineRule="auto"/>
        <w:jc w:val="center"/>
        <w:rPr>
          <w:b/>
          <w:caps/>
          <w:szCs w:val="24"/>
        </w:rPr>
      </w:pPr>
    </w:p>
    <w:tbl>
      <w:tblPr>
        <w:tblpPr w:leftFromText="180" w:rightFromText="180" w:vertAnchor="text" w:tblpX="-289" w:tblpY="1"/>
        <w:tblOverlap w:val="never"/>
        <w:tblW w:w="10201" w:type="dxa"/>
        <w:tblLayout w:type="fixed"/>
        <w:tblCellMar>
          <w:left w:w="10" w:type="dxa"/>
          <w:right w:w="10" w:type="dxa"/>
        </w:tblCellMar>
        <w:tblLook w:val="04A0" w:firstRow="1" w:lastRow="0" w:firstColumn="1" w:lastColumn="0" w:noHBand="0" w:noVBand="1"/>
      </w:tblPr>
      <w:tblGrid>
        <w:gridCol w:w="1702"/>
        <w:gridCol w:w="2693"/>
        <w:gridCol w:w="4247"/>
        <w:gridCol w:w="1559"/>
      </w:tblGrid>
      <w:tr w:rsidR="003633EE" w14:paraId="62202740" w14:textId="77777777" w:rsidTr="00EE5558">
        <w:trPr>
          <w:cantSplit/>
          <w:trHeight w:val="264"/>
        </w:trPr>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8CC56" w14:textId="71E68C5C" w:rsidR="003633EE" w:rsidRDefault="003633EE" w:rsidP="00D57368">
            <w:pPr>
              <w:spacing w:line="276" w:lineRule="auto"/>
              <w:jc w:val="center"/>
              <w:rPr>
                <w:i/>
                <w:szCs w:val="24"/>
              </w:rPr>
            </w:pPr>
            <w:r>
              <w:rPr>
                <w:i/>
                <w:szCs w:val="24"/>
              </w:rPr>
              <w:t>STT pastabos ir pasiūlymai</w:t>
            </w:r>
          </w:p>
        </w:tc>
        <w:tc>
          <w:tcPr>
            <w:tcW w:w="4247" w:type="dxa"/>
            <w:tcBorders>
              <w:top w:val="single" w:sz="4" w:space="0" w:color="000000"/>
              <w:left w:val="single" w:sz="4" w:space="0" w:color="000000"/>
              <w:bottom w:val="single" w:sz="4" w:space="0" w:color="000000"/>
              <w:right w:val="single" w:sz="4" w:space="0" w:color="000000"/>
            </w:tcBorders>
            <w:hideMark/>
          </w:tcPr>
          <w:p w14:paraId="5983FF71" w14:textId="34A3888E" w:rsidR="003633EE" w:rsidRDefault="003633EE" w:rsidP="00D57368">
            <w:pPr>
              <w:spacing w:line="276" w:lineRule="auto"/>
              <w:jc w:val="center"/>
              <w:rPr>
                <w:i/>
                <w:szCs w:val="24"/>
              </w:rPr>
            </w:pPr>
            <w:r>
              <w:rPr>
                <w:i/>
                <w:szCs w:val="24"/>
              </w:rPr>
              <w:t>Informacija apie pastabų ir pasiūlymų įgyvendinimą</w:t>
            </w:r>
          </w:p>
        </w:tc>
        <w:tc>
          <w:tcPr>
            <w:tcW w:w="1559" w:type="dxa"/>
            <w:tcBorders>
              <w:top w:val="single" w:sz="4" w:space="0" w:color="000000"/>
              <w:left w:val="single" w:sz="4" w:space="0" w:color="000000"/>
              <w:bottom w:val="single" w:sz="4" w:space="0" w:color="000000"/>
              <w:right w:val="single" w:sz="4" w:space="0" w:color="000000"/>
            </w:tcBorders>
            <w:hideMark/>
          </w:tcPr>
          <w:p w14:paraId="37EB8A29" w14:textId="00BA6F0E" w:rsidR="003633EE" w:rsidRDefault="003633EE" w:rsidP="00EE5558">
            <w:pPr>
              <w:spacing w:line="276" w:lineRule="auto"/>
              <w:ind w:right="275"/>
              <w:jc w:val="center"/>
              <w:rPr>
                <w:i/>
                <w:szCs w:val="24"/>
              </w:rPr>
            </w:pPr>
            <w:r>
              <w:rPr>
                <w:i/>
                <w:szCs w:val="24"/>
              </w:rPr>
              <w:t>Specialiųjų tyrimų tarnybos vertinimas</w:t>
            </w:r>
          </w:p>
        </w:tc>
      </w:tr>
      <w:tr w:rsidR="00CF0CB8" w14:paraId="63AD0FE9" w14:textId="77777777" w:rsidTr="00EE5558">
        <w:trPr>
          <w:trHeight w:val="8213"/>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8EB2B9" w14:textId="77777777" w:rsidR="003633EE" w:rsidRDefault="003633EE" w:rsidP="00D57368">
            <w:pPr>
              <w:spacing w:line="276" w:lineRule="auto"/>
              <w:jc w:val="both"/>
              <w:rPr>
                <w:szCs w:val="24"/>
              </w:rPr>
            </w:pPr>
            <w:r>
              <w:rPr>
                <w:color w:val="000000"/>
                <w:szCs w:val="24"/>
              </w:rPr>
              <w:t>Kritinės antikorupcinės pastabos ir pasiūlymai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DDB174" w14:textId="27899715" w:rsidR="003E2371" w:rsidRPr="003E2371" w:rsidRDefault="003E2371" w:rsidP="00D57368">
            <w:r w:rsidRPr="003E2371">
              <w:t>Kauno rajono fondo valdybos nuostatuose reglamentuoti</w:t>
            </w:r>
          </w:p>
          <w:p w14:paraId="4EFDAFA2" w14:textId="3EB4C466" w:rsidR="003E2371" w:rsidRPr="003E2371" w:rsidRDefault="003E2371" w:rsidP="00D57368">
            <w:r w:rsidRPr="003E2371">
              <w:t>pagrindines finansuojamų veiklų sritis, prioritetus, paramos smulkiojo ir vidutinio</w:t>
            </w:r>
          </w:p>
          <w:p w14:paraId="2B6B08F9" w14:textId="2EB32DC2" w:rsidR="00BB1C0B" w:rsidRPr="00BB1C0B" w:rsidRDefault="003E2371" w:rsidP="00BB1C0B">
            <w:r w:rsidRPr="003E2371">
              <w:t>verslo subjektams formas, paramos teikimo sąlygas</w:t>
            </w:r>
            <w:r w:rsidR="008726E7">
              <w:t>.</w:t>
            </w:r>
          </w:p>
        </w:tc>
        <w:tc>
          <w:tcPr>
            <w:tcW w:w="4247" w:type="dxa"/>
            <w:tcBorders>
              <w:top w:val="single" w:sz="4" w:space="0" w:color="000000"/>
              <w:left w:val="single" w:sz="4" w:space="0" w:color="000000"/>
              <w:bottom w:val="single" w:sz="4" w:space="0" w:color="000000"/>
              <w:right w:val="single" w:sz="4" w:space="0" w:color="000000"/>
            </w:tcBorders>
            <w:shd w:val="clear" w:color="auto" w:fill="FFFFFF"/>
          </w:tcPr>
          <w:p w14:paraId="1877A472" w14:textId="67A9E40D" w:rsidR="0027180C" w:rsidRDefault="00BB1C0B" w:rsidP="00EE5558">
            <w:pPr>
              <w:pStyle w:val="Betarp"/>
              <w:ind w:right="-12"/>
              <w:jc w:val="both"/>
            </w:pPr>
            <w:r w:rsidRPr="0027180C">
              <w:t>Atsižvelgta.</w:t>
            </w:r>
          </w:p>
          <w:p w14:paraId="45CE72D9" w14:textId="01B39E3C" w:rsidR="0027180C" w:rsidRDefault="00BB1C0B" w:rsidP="00EE5558">
            <w:pPr>
              <w:pStyle w:val="Betarp"/>
              <w:ind w:right="130"/>
              <w:jc w:val="both"/>
            </w:pPr>
            <w:r w:rsidRPr="0027180C">
              <w:t xml:space="preserve">Naujoje Kauno rajono savivaldybės Smulkiojo ir vidutinio verslo skatinimo fondo nuostatų redakcijoje </w:t>
            </w:r>
            <w:r w:rsidRPr="00CF0CB8">
              <w:rPr>
                <w:u w:val="single"/>
              </w:rPr>
              <w:t>reglamentuotos fondo remiamos verslo rūšys</w:t>
            </w:r>
            <w:r w:rsidR="00CF0CB8">
              <w:t>, nurodyta, kad</w:t>
            </w:r>
            <w:r w:rsidR="0027180C">
              <w:t xml:space="preserve"> Fondas remia ekonominės veiklos rūšis, išskyrus: 1. medžioklės veiklą; 2. alkoholinių gėrimų gamybą; 3. tabako gaminių gamybą; 4. finansinę ir draudimo veiklą (finansinių paslaugų veiklą, draudimo, perdraudimo ir pensijų lėšų kaupimo, išskyrus privalomąjį socialinį draudimą, veiklą, pagalbinę finansinių paslaugų ir draudimo veiklą); 5. nekilnojamojo turto operacijas; 6. teisinę veiklą; 7. azartinių žaidimų ir lažybų organizavimo veiklą.</w:t>
            </w:r>
          </w:p>
          <w:p w14:paraId="62CA13AD" w14:textId="61AE91CA" w:rsidR="00CF0CB8" w:rsidRDefault="00CF0CB8" w:rsidP="00EE5558">
            <w:pPr>
              <w:pStyle w:val="Betarp"/>
              <w:ind w:right="130"/>
              <w:jc w:val="both"/>
            </w:pPr>
            <w:r w:rsidRPr="00CF0CB8">
              <w:rPr>
                <w:u w:val="single"/>
              </w:rPr>
              <w:t>Nustatyta Paramos teikimo tvarka</w:t>
            </w:r>
            <w:r w:rsidRPr="00CF0CB8">
              <w:t>: 1. Per einamuosius metus nustatomi du dokumentų pateikimo etapai teikti paraiškas: 1.1. I-</w:t>
            </w:r>
            <w:proofErr w:type="spellStart"/>
            <w:r w:rsidRPr="00CF0CB8">
              <w:t>as</w:t>
            </w:r>
            <w:proofErr w:type="spellEnd"/>
            <w:r w:rsidRPr="00CF0CB8">
              <w:t xml:space="preserve"> dokumentų pateikimo etapas iki gegužės 15 d; 1.2. II-</w:t>
            </w:r>
            <w:proofErr w:type="spellStart"/>
            <w:r w:rsidRPr="00CF0CB8">
              <w:t>as</w:t>
            </w:r>
            <w:proofErr w:type="spellEnd"/>
            <w:r w:rsidRPr="00CF0CB8">
              <w:t xml:space="preserve"> dokumentų pateikimo etapas iki spalio </w:t>
            </w:r>
            <w:r w:rsidR="00F92C15">
              <w:t xml:space="preserve">     </w:t>
            </w:r>
            <w:r w:rsidRPr="00CF0CB8">
              <w:t xml:space="preserve">15 d. 2. Informacija apie einamųjų metų Fondo lėšų sąmatos patvirtinimą skelbiama Savivaldybės internetinėje svetainėje www.krs.lt. 3.  Paraiška (priedas) ir joje nurodyti dokumentai iki nurodytos datos pristatomi Kauno rajono savivaldybės administracijos, Gyventojų aptarnavimo ir dokumentų valdymo skyriuje, Kaunas, Savanorių pr. 371 arba elektroninėmis priemonėmis Savivaldybės administracijos oficialiu elektroninio pašto adresu </w:t>
            </w:r>
            <w:proofErr w:type="spellStart"/>
            <w:r w:rsidRPr="00CF0CB8">
              <w:t>info@krs.lt</w:t>
            </w:r>
            <w:proofErr w:type="spellEnd"/>
            <w:r w:rsidR="00F92C15">
              <w:t>.</w:t>
            </w:r>
            <w:r w:rsidRPr="00CF0CB8">
              <w:t xml:space="preserve"> 4. Fondo valdyba ne vėliau kaip per 30 kalendorinių dienų nuo kiekvieno etapo termino pabaigos apsvarsto pateiktas paraiškas. Priėmus sprendimą skirti ar atsisakius skirti finansinę paramą, apie tai per 10 kalendorinių dienų. Pareiškėjas </w:t>
            </w:r>
            <w:r w:rsidRPr="00CF0CB8">
              <w:lastRenderedPageBreak/>
              <w:t>informuojamas el. priemonėmis. 5. Fondo valdybos sprendimu skirtos lėšos pervedamos į Pareiškėjo nurodytą atsiskaitomąją sąskaitą banke.</w:t>
            </w:r>
          </w:p>
          <w:p w14:paraId="444400EA" w14:textId="002B69F7" w:rsidR="00CF0CB8" w:rsidRPr="0027180C" w:rsidRDefault="0027180C" w:rsidP="00EE5558">
            <w:pPr>
              <w:pStyle w:val="Betarp"/>
              <w:ind w:right="130"/>
              <w:jc w:val="both"/>
            </w:pPr>
            <w:r w:rsidRPr="00CF0CB8">
              <w:rPr>
                <w:u w:val="single"/>
              </w:rPr>
              <w:t>Reglamentuotos paramos teikimo sąlygos</w:t>
            </w:r>
            <w:r w:rsidRPr="0027180C">
              <w:t>: 1. Fondo valdyba finansinę paramą teikia smulkiojo ir vidutinio verslo subjektams įregistruotiems ir vykdantiems veiklą Savivaldybės teritorijoje (toliau – Pareiškėjas)</w:t>
            </w:r>
            <w:r w:rsidR="00F92C15">
              <w:t>.</w:t>
            </w:r>
            <w:r w:rsidRPr="0027180C">
              <w:t xml:space="preserve"> 2. Fondo valdyba Pareiškėjui kompensuoja einamųjų ir vienų ankstesnių metų išlaidas</w:t>
            </w:r>
            <w:r w:rsidR="00F92C15">
              <w:t>.</w:t>
            </w:r>
            <w:r w:rsidRPr="0027180C">
              <w:t xml:space="preserve"> 3. Tam pačiam Pareiškėjui parama gali būti skiriama ne daugiau kaip vieną kartą per trejus kalendorinius metus (išskyrus dalyvavimą parodose); 4. Fondo parama neteikiama: 4.1. valstybės ir savivaldybės įmonėms; 4.2. įmonėms, kuriose valstybei, savivaldybei priklauso daugiau kaip ½ balsų visuotiniame akcininkų susirinkime; 4.3. smulkiojo ir vidutinio verslo subjektams, turintiems įsiskolinimų valstybės ir (ar) savivaldybių biudžetams; 4.4. bankrutuojantiems, likviduojamiems ar restruktūrizuojamiems smulkiojo ir vidutinio verslo subjektams; 4.5. smulkiojo ir vidutinio verslo subjektams, gavusiems paramą iš valstybės biudžeto verslui finansuoti skirtų priemonių už  praėjusius ir einamuosius metus.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FE3DD48" w14:textId="77777777" w:rsidR="003633EE" w:rsidRDefault="003633EE" w:rsidP="00EE5558">
            <w:pPr>
              <w:spacing w:line="276" w:lineRule="auto"/>
              <w:ind w:right="-153"/>
              <w:jc w:val="both"/>
              <w:rPr>
                <w:b/>
                <w:szCs w:val="24"/>
              </w:rPr>
            </w:pPr>
          </w:p>
        </w:tc>
      </w:tr>
      <w:tr w:rsidR="00CF0CB8" w14:paraId="494F0F10" w14:textId="77777777" w:rsidTr="00EE5558">
        <w:trPr>
          <w:trHeight w:val="788"/>
        </w:trPr>
        <w:tc>
          <w:tcPr>
            <w:tcW w:w="1702" w:type="dxa"/>
            <w:vMerge/>
            <w:tcBorders>
              <w:top w:val="single" w:sz="4" w:space="0" w:color="000000"/>
              <w:left w:val="single" w:sz="4" w:space="0" w:color="000000"/>
              <w:bottom w:val="single" w:sz="4" w:space="0" w:color="auto"/>
              <w:right w:val="single" w:sz="4" w:space="0" w:color="000000"/>
            </w:tcBorders>
            <w:vAlign w:val="center"/>
            <w:hideMark/>
          </w:tcPr>
          <w:p w14:paraId="0148481F" w14:textId="77777777" w:rsidR="003633EE" w:rsidRDefault="003633EE" w:rsidP="00D57368">
            <w:pPr>
              <w:spacing w:line="276" w:lineRule="auto"/>
              <w:rPr>
                <w:szCs w:val="24"/>
              </w:rPr>
            </w:pP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3522E9" w14:textId="77777777" w:rsidR="003E2371" w:rsidRPr="003E2371" w:rsidRDefault="003E2371" w:rsidP="00D57368">
            <w:r w:rsidRPr="003E2371">
              <w:t>Kauno rajono</w:t>
            </w:r>
          </w:p>
          <w:p w14:paraId="5C892633" w14:textId="06D0ECBB" w:rsidR="003E2371" w:rsidRPr="003E2371" w:rsidRDefault="003E2371" w:rsidP="00D57368">
            <w:r w:rsidRPr="003E2371">
              <w:t>fondo valdybos nuostatuose reglamentuoti dėl kokių skubių, atskirų klausimų gali būti inicijuojama</w:t>
            </w:r>
          </w:p>
          <w:p w14:paraId="148B5F67" w14:textId="77777777" w:rsidR="003E2371" w:rsidRPr="003E2371" w:rsidRDefault="003E2371" w:rsidP="00D57368">
            <w:r w:rsidRPr="003E2371">
              <w:t>rašytinė sprendimų priėmimo procedūra, taip pat numatyti, kiek valdybos narių turi aktyviais</w:t>
            </w:r>
          </w:p>
          <w:p w14:paraId="41D7A2F9" w14:textId="77777777" w:rsidR="003E2371" w:rsidRPr="003E2371" w:rsidRDefault="003E2371" w:rsidP="00D57368">
            <w:r w:rsidRPr="003E2371">
              <w:t>veiksmais išreikšti savo valią (t. y. pareikšti savo nuomonę nagrinėjamu klausimu), jog rašytinė</w:t>
            </w:r>
          </w:p>
          <w:p w14:paraId="4D038502" w14:textId="1F02B411" w:rsidR="003633EE" w:rsidRPr="003E2371" w:rsidRDefault="003E2371" w:rsidP="00D57368">
            <w:r w:rsidRPr="003E2371">
              <w:t>sprendimų priėmimo procedūra būtų laikoma teisėta</w:t>
            </w:r>
            <w:r w:rsidR="008726E7">
              <w:t>.</w:t>
            </w:r>
          </w:p>
        </w:tc>
        <w:tc>
          <w:tcPr>
            <w:tcW w:w="4247" w:type="dxa"/>
            <w:tcBorders>
              <w:top w:val="single" w:sz="4" w:space="0" w:color="000000"/>
              <w:left w:val="single" w:sz="4" w:space="0" w:color="000000"/>
              <w:bottom w:val="single" w:sz="4" w:space="0" w:color="000000"/>
              <w:right w:val="single" w:sz="4" w:space="0" w:color="000000"/>
            </w:tcBorders>
            <w:shd w:val="clear" w:color="auto" w:fill="FFFFFF"/>
          </w:tcPr>
          <w:p w14:paraId="5D96AECF" w14:textId="77777777" w:rsidR="00EE5558" w:rsidRDefault="008726E7" w:rsidP="00EE5558">
            <w:pPr>
              <w:pStyle w:val="Betarp"/>
              <w:ind w:right="130"/>
              <w:jc w:val="both"/>
            </w:pPr>
            <w:r w:rsidRPr="0027180C">
              <w:t xml:space="preserve">Atsižvelgta. </w:t>
            </w:r>
          </w:p>
          <w:p w14:paraId="1B127CF7" w14:textId="3C1DC837" w:rsidR="003633EE" w:rsidRPr="0027180C" w:rsidRDefault="00CF0CB8" w:rsidP="00EE5558">
            <w:pPr>
              <w:pStyle w:val="Betarp"/>
              <w:ind w:right="130"/>
              <w:jc w:val="both"/>
            </w:pPr>
            <w:r>
              <w:t>N</w:t>
            </w:r>
            <w:r w:rsidRPr="0027180C">
              <w:t xml:space="preserve">aujoje Kauno rajono savivaldybės Smulkiojo ir vidutinio verslo skatinimo fondo nuostatų redakcijoje išbraukėme </w:t>
            </w:r>
            <w:r>
              <w:t>r</w:t>
            </w:r>
            <w:r w:rsidR="008726E7" w:rsidRPr="0027180C">
              <w:t>ašytinę sprendimų priėmimo procedūrą.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F50C980" w14:textId="77777777" w:rsidR="003633EE" w:rsidRDefault="003633EE" w:rsidP="00D57368">
            <w:pPr>
              <w:spacing w:line="276" w:lineRule="auto"/>
              <w:jc w:val="both"/>
              <w:rPr>
                <w:b/>
                <w:szCs w:val="24"/>
              </w:rPr>
            </w:pPr>
          </w:p>
        </w:tc>
      </w:tr>
      <w:tr w:rsidR="00CF0CB8" w14:paraId="4D75D439" w14:textId="77777777" w:rsidTr="00EE5558">
        <w:trPr>
          <w:trHeight w:val="862"/>
        </w:trPr>
        <w:tc>
          <w:tcPr>
            <w:tcW w:w="1702"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14:paraId="6072494B" w14:textId="77777777" w:rsidR="003633EE" w:rsidRDefault="003633EE" w:rsidP="00D57368">
            <w:pPr>
              <w:widowControl w:val="0"/>
              <w:tabs>
                <w:tab w:val="right" w:leader="underscore" w:pos="9072"/>
              </w:tabs>
              <w:suppressAutoHyphens/>
              <w:spacing w:line="276" w:lineRule="auto"/>
              <w:jc w:val="center"/>
              <w:textAlignment w:val="baseline"/>
              <w:rPr>
                <w:color w:val="000000"/>
                <w:szCs w:val="24"/>
              </w:rPr>
            </w:pPr>
            <w:r>
              <w:rPr>
                <w:color w:val="000000"/>
                <w:szCs w:val="24"/>
              </w:rPr>
              <w:lastRenderedPageBreak/>
              <w:t>Kitos antikorupcinės pastabos ir pasiūlymai</w:t>
            </w:r>
          </w:p>
          <w:p w14:paraId="1B72A7C7" w14:textId="77777777" w:rsidR="003633EE" w:rsidRDefault="003633EE" w:rsidP="00D57368">
            <w:pPr>
              <w:spacing w:line="276" w:lineRule="auto"/>
              <w:jc w:val="both"/>
              <w:rPr>
                <w:szCs w:val="24"/>
              </w:rPr>
            </w:pPr>
          </w:p>
        </w:tc>
        <w:tc>
          <w:tcPr>
            <w:tcW w:w="2693"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537A9DC" w14:textId="380B02E6" w:rsidR="003E2371" w:rsidRPr="003E2371" w:rsidRDefault="003E2371" w:rsidP="00CF0CB8">
            <w:r w:rsidRPr="003E2371">
              <w:t>Nustatyti tikslius teikiamos paramos dydžius arba</w:t>
            </w:r>
          </w:p>
          <w:p w14:paraId="189B357E" w14:textId="237C4F7D" w:rsidR="003633EE" w:rsidRPr="003E2371" w:rsidRDefault="003E2371" w:rsidP="00CF0CB8">
            <w:r w:rsidRPr="003E2371">
              <w:t>kriterijus, kuriais vadovaudamasi valdyba priima sprendimą skirti konkretaus dydžio paramą.</w:t>
            </w:r>
          </w:p>
        </w:tc>
        <w:tc>
          <w:tcPr>
            <w:tcW w:w="4247" w:type="dxa"/>
            <w:tcBorders>
              <w:top w:val="single" w:sz="4" w:space="0" w:color="000000"/>
              <w:left w:val="single" w:sz="4" w:space="0" w:color="auto"/>
              <w:bottom w:val="single" w:sz="4" w:space="0" w:color="000000"/>
              <w:right w:val="single" w:sz="4" w:space="0" w:color="000000"/>
            </w:tcBorders>
            <w:shd w:val="clear" w:color="auto" w:fill="FFFFFF"/>
          </w:tcPr>
          <w:p w14:paraId="0C0D4D94" w14:textId="60D31859" w:rsidR="00EE5558" w:rsidRDefault="00EE5558" w:rsidP="00EE5558">
            <w:pPr>
              <w:pStyle w:val="Betarp"/>
              <w:ind w:right="130"/>
              <w:jc w:val="both"/>
            </w:pPr>
            <w:r>
              <w:t>Atsižvelgta.</w:t>
            </w:r>
          </w:p>
          <w:p w14:paraId="155FDF18" w14:textId="43B4D1A8" w:rsidR="00BE1564" w:rsidRPr="0027180C" w:rsidRDefault="00CF0CB8" w:rsidP="00EE5558">
            <w:pPr>
              <w:pStyle w:val="Betarp"/>
              <w:ind w:right="130"/>
              <w:jc w:val="both"/>
            </w:pPr>
            <w:r w:rsidRPr="00CF0CB8">
              <w:t>Naujoje Kauno rajono savivaldybės Smulkiojo ir vidutinio verslo skatinimo fondo nuostatų redakcijoje</w:t>
            </w:r>
            <w:r>
              <w:t xml:space="preserve"> nustatėme Fondo remiamas išlaidų rūšis ir maksimalius paramos dydžius: 1. Įrangos įsigijimo, steigiant arba plečiant veiklą, patirtų išlaidų kompensavimas 50 procentų, bet ne daugiau kaip 5000 Eur. Įranga turi būti susijusi su darbo vietos funkcionavimu teikti paslaugas ir/ar gaminti prekes, gaminius ar produkciją. 2. Smulkiojo ir vidutinio verslo subjekto kvalifikacijos kėlimo, mokymo, seminarų patirtoms išlaidoms padengti 50 proc. bet ne daugiau kaip 1000 Eur. Finansavimas skiriamas darbuotojų mokymams, siekiant suteikti ir (ar) tobulinti jų profesinius gebėjimus, žinias ir įgūdžius. Parama neskiriama darbo saugos ir duomenų apsaugos dokumentų tvarkymo išlaidoms kompensuoti. 3. Informacinių, reklaminių leidinių parengimo ir leidybos bei reklamos priemonių patirtų išlaidų kompensavimas 50 proc. bet ne daugiau kaip 2000 Eur. 4. Smulkiojo ir vidutinio verslo subjekto dalyvavimo Lietuvoje ir (ar) užsienyje vykstančiose parodose, kuriose pristatoma Pareiškėjo gaminama produkcija ar teikiamos paslaugos, patirtų išlaidų kompensavimas 50 proc. bet ne daugiau kaip 2000 Eur. Kompensuojamos išlaidos, susijusios su dalyvavimu parodoje – registracijos mokestis, mokėjimai už parodos ploto nuomą ir/ar stendo su įranga nuomą</w:t>
            </w:r>
            <w:r w:rsidR="00F92C15">
              <w:t>.</w:t>
            </w:r>
            <w:r>
              <w:t xml:space="preserve"> 5. Naujai įregistruotų SVV subjektų pradinių steigimosi patirtų išlaidų kompensavimas 50 proc. bet ne daugiau kaip 1000 Eur. Tinkamos finansuoti išlaidos: atlyginimas VĮ Registrų centrui už juridinio asmens įregistravimą, už laikinojo pavadinimo įtraukimą į registrą, notarui už steigiamo juridinio asmens steigimo dokumentų atitikties patvirtinimą, apmokėjimas už suteiktas steigimo dokumentų rengimo paslaugas, anspaudo gamybos išlaidos.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9FE57AA" w14:textId="77777777" w:rsidR="003633EE" w:rsidRDefault="003633EE" w:rsidP="00D57368">
            <w:pPr>
              <w:spacing w:line="276" w:lineRule="auto"/>
              <w:jc w:val="both"/>
              <w:rPr>
                <w:b/>
                <w:szCs w:val="24"/>
              </w:rPr>
            </w:pPr>
          </w:p>
        </w:tc>
      </w:tr>
      <w:tr w:rsidR="00BE1564" w14:paraId="48B0CAE8" w14:textId="77777777" w:rsidTr="00EE5558">
        <w:trPr>
          <w:trHeight w:val="862"/>
        </w:trPr>
        <w:tc>
          <w:tcPr>
            <w:tcW w:w="1702"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14:paraId="334076F4" w14:textId="77777777" w:rsidR="00BE1564" w:rsidRDefault="00BE1564" w:rsidP="00D57368">
            <w:pPr>
              <w:widowControl w:val="0"/>
              <w:tabs>
                <w:tab w:val="right" w:leader="underscore" w:pos="9072"/>
              </w:tabs>
              <w:suppressAutoHyphens/>
              <w:spacing w:line="276" w:lineRule="auto"/>
              <w:jc w:val="center"/>
              <w:textAlignment w:val="baseline"/>
              <w:rPr>
                <w:color w:val="000000"/>
                <w:szCs w:val="24"/>
              </w:rPr>
            </w:pPr>
          </w:p>
        </w:tc>
        <w:tc>
          <w:tcPr>
            <w:tcW w:w="2693"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0D2CB7A" w14:textId="77777777" w:rsidR="00BE1564" w:rsidRDefault="00BE1564" w:rsidP="00BE1564">
            <w:r>
              <w:t>Kauno rajono</w:t>
            </w:r>
          </w:p>
          <w:p w14:paraId="4B203599" w14:textId="5C4AA055" w:rsidR="00BE1564" w:rsidRPr="003E2371" w:rsidRDefault="00BE1564" w:rsidP="00BE1564">
            <w:r>
              <w:t xml:space="preserve">fondo valdybos nuostatuose </w:t>
            </w:r>
            <w:r w:rsidR="00956BC0">
              <w:t xml:space="preserve">detaliai </w:t>
            </w:r>
            <w:r>
              <w:lastRenderedPageBreak/>
              <w:t>reglamentuoti</w:t>
            </w:r>
            <w:r w:rsidR="00956BC0">
              <w:t xml:space="preserve"> paramos smulkiajam ir vidutiniam verslui teikimo ir paramos panaudojimo kontrolę.</w:t>
            </w:r>
          </w:p>
        </w:tc>
        <w:tc>
          <w:tcPr>
            <w:tcW w:w="4247" w:type="dxa"/>
            <w:tcBorders>
              <w:top w:val="single" w:sz="4" w:space="0" w:color="000000"/>
              <w:left w:val="single" w:sz="4" w:space="0" w:color="auto"/>
              <w:bottom w:val="single" w:sz="4" w:space="0" w:color="000000"/>
              <w:right w:val="single" w:sz="4" w:space="0" w:color="000000"/>
            </w:tcBorders>
            <w:shd w:val="clear" w:color="auto" w:fill="FFFFFF"/>
          </w:tcPr>
          <w:p w14:paraId="44D7859D" w14:textId="77777777" w:rsidR="00BE1564" w:rsidRDefault="00EC180E" w:rsidP="00EE5558">
            <w:pPr>
              <w:pStyle w:val="Betarp"/>
              <w:ind w:right="130"/>
              <w:jc w:val="both"/>
            </w:pPr>
            <w:r>
              <w:lastRenderedPageBreak/>
              <w:t xml:space="preserve">Atsižvelgta. </w:t>
            </w:r>
          </w:p>
          <w:p w14:paraId="4C6BFC1D" w14:textId="77777777" w:rsidR="00EC180E" w:rsidRDefault="00EC180E" w:rsidP="00EE5558">
            <w:pPr>
              <w:pStyle w:val="Betarp"/>
              <w:ind w:right="130"/>
              <w:jc w:val="both"/>
            </w:pPr>
            <w:r w:rsidRPr="00EC180E">
              <w:t xml:space="preserve">Naujoje Kauno rajono savivaldybės Smulkiojo ir vidutinio verslo skatinimo </w:t>
            </w:r>
            <w:r w:rsidRPr="00EC180E">
              <w:lastRenderedPageBreak/>
              <w:t>fondo nuostatų redakcijoje</w:t>
            </w:r>
            <w:r>
              <w:t xml:space="preserve"> detaliai reglamentuota </w:t>
            </w:r>
            <w:r w:rsidRPr="00EC180E">
              <w:t>paramos smulkiajam ir vidutiniam verslui teikimo ir paramos panaudojimo kontrol</w:t>
            </w:r>
            <w:r>
              <w:t xml:space="preserve">ė. </w:t>
            </w:r>
          </w:p>
          <w:p w14:paraId="2DB508F2" w14:textId="0CA37B03" w:rsidR="00EC180E" w:rsidRDefault="00EC180E" w:rsidP="00EC180E">
            <w:pPr>
              <w:pStyle w:val="Betarp"/>
              <w:ind w:right="130"/>
              <w:jc w:val="both"/>
            </w:pPr>
            <w:r>
              <w:t>Nustatyta, kad: 1. Už panaudotas per kalendorinius metus lėšas Fondo valdyba ne vėliau kaip per tris mėnesius nuo kalendorinių metų pabaigos atsiskaito Savivaldybės tarybai. 2. Savivaldybės administracijos Buhalterinės apskaitos skyrius atsako už Fondo lėšų apskaitos vedimą, išmokėjimo teisingumą ir konfidencialios informacijos apie asmenį saugojimą Lietuvos Respublikos įstatymų ir kitų teisės aktų nustatyta tvarka. 3. Savivaldybės vykdomosios institucijos įsakymu paskirtas Ekonomikos skyriaus specialistas vykdyti sekretoriaus funkcijas atsako už dokumentų, kuriais priimami sprendimai skirti paramą, parengimą ir jų saugojimą Lietuvos Respublikos įstatymų ir kitų teisės aktų nustatyta tvarka. 4. Fondo valdybos pirmininkas, sekretorius ir Fondo valdybos nariai atsako už priimtų sprendimų objektyvumą ir konfidencialios informacijos apie asmenį saugojimą Lietuvos Respublikos įstatymų ir kitų teisės aktų nustatyta tvarka. 5. Fondo naudojimo kontrolę atlieka Savivaldybės kontrolės ir audito tarnyba. 6. Savivaldybės kontrolės ir audito tarnyba, siekdama užtikrinti paramos panaudojimo kontrolę, iš Parmos gavėjo bet kuriuo metu pagal poreikį gali pareikalauti papildomos informacijos apie paramos panaudojimą teisės aktų nustatyta tvarka.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5250801" w14:textId="77777777" w:rsidR="00BE1564" w:rsidRDefault="00BE1564" w:rsidP="00D57368">
            <w:pPr>
              <w:spacing w:line="276" w:lineRule="auto"/>
              <w:jc w:val="both"/>
              <w:rPr>
                <w:b/>
                <w:szCs w:val="24"/>
              </w:rPr>
            </w:pPr>
          </w:p>
        </w:tc>
      </w:tr>
    </w:tbl>
    <w:p w14:paraId="16FFA1F7" w14:textId="77777777" w:rsidR="003633EE" w:rsidRDefault="003633EE" w:rsidP="003633EE">
      <w:pPr>
        <w:spacing w:line="276" w:lineRule="auto"/>
        <w:jc w:val="center"/>
      </w:pPr>
      <w:r>
        <w:rPr>
          <w:szCs w:val="24"/>
        </w:rPr>
        <w:t>____________</w:t>
      </w:r>
    </w:p>
    <w:p w14:paraId="67F548CF" w14:textId="77777777" w:rsidR="00231DB6" w:rsidRDefault="00231DB6"/>
    <w:sectPr w:rsidR="00231DB6" w:rsidSect="00EE5558">
      <w:headerReference w:type="default" r:id="rId6"/>
      <w:pgSz w:w="11907" w:h="16840" w:code="9"/>
      <w:pgMar w:top="1134" w:right="1134" w:bottom="1560"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8DD3" w14:textId="77777777" w:rsidR="00E76F4F" w:rsidRDefault="00E76F4F" w:rsidP="003633EE">
      <w:r>
        <w:separator/>
      </w:r>
    </w:p>
  </w:endnote>
  <w:endnote w:type="continuationSeparator" w:id="0">
    <w:p w14:paraId="253C9CF5" w14:textId="77777777" w:rsidR="00E76F4F" w:rsidRDefault="00E76F4F" w:rsidP="0036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A3CE" w14:textId="77777777" w:rsidR="00E76F4F" w:rsidRDefault="00E76F4F" w:rsidP="003633EE">
      <w:r>
        <w:separator/>
      </w:r>
    </w:p>
  </w:footnote>
  <w:footnote w:type="continuationSeparator" w:id="0">
    <w:p w14:paraId="187108EB" w14:textId="77777777" w:rsidR="00E76F4F" w:rsidRDefault="00E76F4F" w:rsidP="00363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325000"/>
      <w:docPartObj>
        <w:docPartGallery w:val="Page Numbers (Top of Page)"/>
        <w:docPartUnique/>
      </w:docPartObj>
    </w:sdtPr>
    <w:sdtEndPr/>
    <w:sdtContent>
      <w:p w14:paraId="6382621C" w14:textId="7E06C17C" w:rsidR="00EE5558" w:rsidRDefault="00EE5558">
        <w:pPr>
          <w:pStyle w:val="Antrats"/>
          <w:jc w:val="center"/>
        </w:pPr>
        <w:r>
          <w:fldChar w:fldCharType="begin"/>
        </w:r>
        <w:r>
          <w:instrText>PAGE   \* MERGEFORMAT</w:instrText>
        </w:r>
        <w:r>
          <w:fldChar w:fldCharType="separate"/>
        </w:r>
        <w:r>
          <w:t>2</w:t>
        </w:r>
        <w:r>
          <w:fldChar w:fldCharType="end"/>
        </w:r>
      </w:p>
    </w:sdtContent>
  </w:sdt>
  <w:p w14:paraId="185A6CC1" w14:textId="77777777" w:rsidR="00EE5558" w:rsidRDefault="00EE555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3EE"/>
    <w:rsid w:val="00231DB6"/>
    <w:rsid w:val="0027180C"/>
    <w:rsid w:val="003124E0"/>
    <w:rsid w:val="003633EE"/>
    <w:rsid w:val="00382A9F"/>
    <w:rsid w:val="003E2371"/>
    <w:rsid w:val="008726E7"/>
    <w:rsid w:val="008B18B5"/>
    <w:rsid w:val="00956BC0"/>
    <w:rsid w:val="00BB1C0B"/>
    <w:rsid w:val="00BE1564"/>
    <w:rsid w:val="00C4252E"/>
    <w:rsid w:val="00CF0CB8"/>
    <w:rsid w:val="00D57368"/>
    <w:rsid w:val="00E06031"/>
    <w:rsid w:val="00E63A84"/>
    <w:rsid w:val="00E76F4F"/>
    <w:rsid w:val="00EC180E"/>
    <w:rsid w:val="00EE5558"/>
    <w:rsid w:val="00F22008"/>
    <w:rsid w:val="00F92C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DACF"/>
  <w15:chartTrackingRefBased/>
  <w15:docId w15:val="{3E744F92-1F45-40BE-8249-54523B8D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3E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57368"/>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BB1C0B"/>
    <w:rPr>
      <w:color w:val="0563C1" w:themeColor="hyperlink"/>
      <w:u w:val="single"/>
    </w:rPr>
  </w:style>
  <w:style w:type="character" w:styleId="Neapdorotaspaminjimas">
    <w:name w:val="Unresolved Mention"/>
    <w:basedOn w:val="Numatytasispastraiposriftas"/>
    <w:uiPriority w:val="99"/>
    <w:semiHidden/>
    <w:unhideWhenUsed/>
    <w:rsid w:val="00BB1C0B"/>
    <w:rPr>
      <w:color w:val="605E5C"/>
      <w:shd w:val="clear" w:color="auto" w:fill="E1DFDD"/>
    </w:rPr>
  </w:style>
  <w:style w:type="paragraph" w:styleId="Antrats">
    <w:name w:val="header"/>
    <w:basedOn w:val="prastasis"/>
    <w:link w:val="AntratsDiagrama"/>
    <w:uiPriority w:val="99"/>
    <w:unhideWhenUsed/>
    <w:rsid w:val="00EE5558"/>
    <w:pPr>
      <w:tabs>
        <w:tab w:val="center" w:pos="4819"/>
        <w:tab w:val="right" w:pos="9638"/>
      </w:tabs>
    </w:pPr>
  </w:style>
  <w:style w:type="character" w:customStyle="1" w:styleId="AntratsDiagrama">
    <w:name w:val="Antraštės Diagrama"/>
    <w:basedOn w:val="Numatytasispastraiposriftas"/>
    <w:link w:val="Antrats"/>
    <w:uiPriority w:val="99"/>
    <w:rsid w:val="00EE555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E5558"/>
    <w:pPr>
      <w:tabs>
        <w:tab w:val="center" w:pos="4819"/>
        <w:tab w:val="right" w:pos="9638"/>
      </w:tabs>
    </w:pPr>
  </w:style>
  <w:style w:type="character" w:customStyle="1" w:styleId="PoratDiagrama">
    <w:name w:val="Poraštė Diagrama"/>
    <w:basedOn w:val="Numatytasispastraiposriftas"/>
    <w:link w:val="Porat"/>
    <w:uiPriority w:val="99"/>
    <w:rsid w:val="00EE555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8FE863-7B8B-42C1-AB01-F8CF4E78279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4</Pages>
  <Words>4615</Words>
  <Characters>2631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LR STT</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Kalesnykas</dc:creator>
  <cp:keywords/>
  <dc:description/>
  <cp:lastModifiedBy>Virginija Guogienė</cp:lastModifiedBy>
  <cp:revision>3</cp:revision>
  <dcterms:created xsi:type="dcterms:W3CDTF">2023-01-24T12:55:00Z</dcterms:created>
  <dcterms:modified xsi:type="dcterms:W3CDTF">2023-01-24T13:39:00Z</dcterms:modified>
</cp:coreProperties>
</file>