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1C927" w14:textId="0CD2F99A" w:rsidR="008D59F7" w:rsidRDefault="008312F0">
      <w:pPr>
        <w:jc w:val="center"/>
      </w:pPr>
      <w:r>
        <w:rPr>
          <w:rStyle w:val="fontstyle01"/>
        </w:rPr>
        <w:t xml:space="preserve">STT </w:t>
      </w:r>
      <w:r w:rsidR="00000000">
        <w:rPr>
          <w:rStyle w:val="fontstyle01"/>
        </w:rPr>
        <w:t xml:space="preserve">KORUPCIJOS RIZIKOS ANALIZĖS IŠVADOJE </w:t>
      </w:r>
      <w:r>
        <w:rPr>
          <w:rStyle w:val="fontstyle01"/>
        </w:rPr>
        <w:t xml:space="preserve">KAUNO RAJONO SAVIVALDYBEI </w:t>
      </w:r>
      <w:r w:rsidR="00000000">
        <w:rPr>
          <w:rStyle w:val="fontstyle01"/>
        </w:rPr>
        <w:t>PATEIKTŲ PASIŪLYMŲ</w:t>
      </w:r>
      <w:r w:rsidR="00000000">
        <w:rPr>
          <w:rFonts w:ascii="TimesNewRomanPS-BoldMT" w:hAnsi="TimesNewRomanPS-BoldMT"/>
          <w:b/>
          <w:bCs/>
          <w:color w:val="000000"/>
        </w:rPr>
        <w:t xml:space="preserve"> </w:t>
      </w:r>
      <w:r w:rsidR="00000000">
        <w:rPr>
          <w:rStyle w:val="fontstyle01"/>
        </w:rPr>
        <w:t>ĮGYVENDINIMAS</w:t>
      </w:r>
    </w:p>
    <w:p w14:paraId="618EC338" w14:textId="77777777" w:rsidR="008D59F7" w:rsidRDefault="008D59F7"/>
    <w:tbl>
      <w:tblPr>
        <w:tblW w:w="10200" w:type="dxa"/>
        <w:tblInd w:w="-572" w:type="dxa"/>
        <w:tblCellMar>
          <w:left w:w="10" w:type="dxa"/>
          <w:right w:w="10" w:type="dxa"/>
        </w:tblCellMar>
        <w:tblLook w:val="04A0" w:firstRow="1" w:lastRow="0" w:firstColumn="1" w:lastColumn="0" w:noHBand="0" w:noVBand="1"/>
      </w:tblPr>
      <w:tblGrid>
        <w:gridCol w:w="2529"/>
        <w:gridCol w:w="2411"/>
        <w:gridCol w:w="2395"/>
        <w:gridCol w:w="2865"/>
      </w:tblGrid>
      <w:tr w:rsidR="008D59F7" w14:paraId="7B59739A" w14:textId="77777777">
        <w:tblPrEx>
          <w:tblCellMar>
            <w:top w:w="0" w:type="dxa"/>
            <w:bottom w:w="0" w:type="dxa"/>
          </w:tblCellMar>
        </w:tblPrEx>
        <w:tc>
          <w:tcPr>
            <w:tcW w:w="2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42452" w14:textId="77777777" w:rsidR="008D59F7" w:rsidRDefault="00000000">
            <w:pPr>
              <w:spacing w:after="0" w:line="240" w:lineRule="auto"/>
            </w:pPr>
            <w:r>
              <w:rPr>
                <w:rStyle w:val="fontstyle01"/>
                <w:b w:val="0"/>
                <w:bCs w:val="0"/>
                <w:i/>
                <w:iCs/>
              </w:rPr>
              <w:t xml:space="preserve">Pateiktos pastabos </w:t>
            </w:r>
          </w:p>
        </w:tc>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5223A0" w14:textId="77777777" w:rsidR="008D59F7" w:rsidRDefault="00000000">
            <w:pPr>
              <w:spacing w:after="0" w:line="240" w:lineRule="auto"/>
            </w:pPr>
            <w:r>
              <w:rPr>
                <w:rStyle w:val="fontstyle01"/>
                <w:b w:val="0"/>
                <w:bCs w:val="0"/>
                <w:i/>
                <w:iCs/>
              </w:rPr>
              <w:t>Pasiūlymai atsižvelgiant į</w:t>
            </w:r>
            <w:r>
              <w:rPr>
                <w:rFonts w:ascii="TimesNewRomanPS-ItalicMT" w:hAnsi="TimesNewRomanPS-ItalicMT"/>
                <w:b/>
                <w:bCs/>
                <w:i/>
                <w:iCs/>
                <w:color w:val="000000"/>
              </w:rPr>
              <w:br/>
            </w:r>
            <w:r>
              <w:rPr>
                <w:rStyle w:val="fontstyle01"/>
                <w:b w:val="0"/>
                <w:bCs w:val="0"/>
                <w:i/>
                <w:iCs/>
              </w:rPr>
              <w:t>pateiktas pastabas</w:t>
            </w:r>
          </w:p>
        </w:tc>
        <w:tc>
          <w:tcPr>
            <w:tcW w:w="2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D6FB1" w14:textId="77777777" w:rsidR="008D59F7" w:rsidRDefault="00000000">
            <w:pPr>
              <w:spacing w:after="0" w:line="240" w:lineRule="auto"/>
            </w:pPr>
            <w:r>
              <w:rPr>
                <w:rStyle w:val="fontstyle01"/>
                <w:b w:val="0"/>
                <w:bCs w:val="0"/>
                <w:i/>
                <w:iCs/>
              </w:rPr>
              <w:t xml:space="preserve">Duomenys apie pastabų ir pasiūlymų įgyvendinimą </w:t>
            </w: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22A679" w14:textId="77777777" w:rsidR="008D59F7" w:rsidRDefault="00000000">
            <w:pPr>
              <w:spacing w:after="0" w:line="240" w:lineRule="auto"/>
            </w:pPr>
            <w:r>
              <w:rPr>
                <w:rStyle w:val="fontstyle01"/>
                <w:b w:val="0"/>
                <w:bCs w:val="0"/>
                <w:i/>
                <w:iCs/>
              </w:rPr>
              <w:t>Specialiųjų</w:t>
            </w:r>
            <w:r>
              <w:rPr>
                <w:rFonts w:ascii="TimesNewRomanPS-ItalicMT" w:hAnsi="TimesNewRomanPS-ItalicMT"/>
                <w:b/>
                <w:bCs/>
                <w:i/>
                <w:iCs/>
                <w:color w:val="000000"/>
              </w:rPr>
              <w:br/>
            </w:r>
            <w:r>
              <w:rPr>
                <w:rStyle w:val="fontstyle01"/>
                <w:b w:val="0"/>
                <w:bCs w:val="0"/>
                <w:i/>
                <w:iCs/>
              </w:rPr>
              <w:t>tyrimų tarnybos</w:t>
            </w:r>
            <w:r>
              <w:rPr>
                <w:rFonts w:ascii="TimesNewRomanPS-ItalicMT" w:hAnsi="TimesNewRomanPS-ItalicMT"/>
                <w:b/>
                <w:bCs/>
                <w:i/>
                <w:iCs/>
                <w:color w:val="000000"/>
              </w:rPr>
              <w:br/>
            </w:r>
            <w:r>
              <w:rPr>
                <w:rStyle w:val="fontstyle01"/>
                <w:b w:val="0"/>
                <w:bCs w:val="0"/>
                <w:i/>
                <w:iCs/>
              </w:rPr>
              <w:t>vertinimas</w:t>
            </w:r>
          </w:p>
        </w:tc>
      </w:tr>
      <w:tr w:rsidR="008D59F7" w14:paraId="031CC8FC" w14:textId="77777777">
        <w:tblPrEx>
          <w:tblCellMar>
            <w:top w:w="0" w:type="dxa"/>
            <w:bottom w:w="0" w:type="dxa"/>
          </w:tblCellMar>
        </w:tblPrEx>
        <w:tc>
          <w:tcPr>
            <w:tcW w:w="102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B4E0B2" w14:textId="77777777" w:rsidR="008D59F7" w:rsidRDefault="00000000">
            <w:pPr>
              <w:spacing w:after="0" w:line="240" w:lineRule="auto"/>
              <w:jc w:val="center"/>
            </w:pPr>
            <w:r>
              <w:rPr>
                <w:rStyle w:val="fontstyle01"/>
                <w:b w:val="0"/>
                <w:bCs w:val="0"/>
                <w:i/>
                <w:iCs/>
              </w:rPr>
              <w:t>1. Kritinės antikorupcinės pastabos</w:t>
            </w:r>
          </w:p>
        </w:tc>
      </w:tr>
      <w:tr w:rsidR="008D59F7" w14:paraId="50377ED9" w14:textId="77777777">
        <w:tblPrEx>
          <w:tblCellMar>
            <w:top w:w="0" w:type="dxa"/>
            <w:bottom w:w="0" w:type="dxa"/>
          </w:tblCellMar>
        </w:tblPrEx>
        <w:tc>
          <w:tcPr>
            <w:tcW w:w="2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7277E" w14:textId="77777777" w:rsidR="008D59F7" w:rsidRDefault="00000000">
            <w:pPr>
              <w:rPr>
                <w:rFonts w:ascii="Times New Roman" w:hAnsi="Times New Roman"/>
                <w:sz w:val="24"/>
                <w:szCs w:val="24"/>
              </w:rPr>
            </w:pPr>
            <w:r>
              <w:rPr>
                <w:rFonts w:ascii="Times New Roman" w:hAnsi="Times New Roman"/>
                <w:sz w:val="24"/>
                <w:szCs w:val="24"/>
              </w:rPr>
              <w:t>Savivaldybių SLD išdavimo</w:t>
            </w:r>
            <w:r>
              <w:rPr>
                <w:rFonts w:ascii="Times New Roman" w:hAnsi="Times New Roman"/>
                <w:sz w:val="24"/>
                <w:szCs w:val="24"/>
              </w:rPr>
              <w:br/>
              <w:t>procese nėra užtikrinama, jog</w:t>
            </w:r>
            <w:r>
              <w:rPr>
                <w:rFonts w:ascii="Times New Roman" w:hAnsi="Times New Roman"/>
                <w:sz w:val="24"/>
                <w:szCs w:val="24"/>
              </w:rPr>
              <w:br/>
              <w:t>darbuotojai efektyviai atliktų</w:t>
            </w:r>
            <w:r>
              <w:rPr>
                <w:rFonts w:ascii="Times New Roman" w:hAnsi="Times New Roman"/>
                <w:sz w:val="24"/>
                <w:szCs w:val="24"/>
              </w:rPr>
              <w:br/>
              <w:t>jiems priskirtas funkcijas, t. y.</w:t>
            </w:r>
            <w:r>
              <w:rPr>
                <w:rFonts w:ascii="Times New Roman" w:hAnsi="Times New Roman"/>
                <w:sz w:val="24"/>
                <w:szCs w:val="24"/>
              </w:rPr>
              <w:br/>
              <w:t>neužtikrinamas atskiriems</w:t>
            </w:r>
            <w:r>
              <w:rPr>
                <w:rFonts w:ascii="Times New Roman" w:hAnsi="Times New Roman"/>
                <w:sz w:val="24"/>
                <w:szCs w:val="24"/>
              </w:rPr>
              <w:br/>
              <w:t>darbuotojams pavestų statinio</w:t>
            </w:r>
            <w:r>
              <w:rPr>
                <w:rFonts w:ascii="Times New Roman" w:hAnsi="Times New Roman"/>
                <w:sz w:val="24"/>
                <w:szCs w:val="24"/>
              </w:rPr>
              <w:br/>
              <w:t>projekto tvirtinimo funkcijų</w:t>
            </w:r>
            <w:r>
              <w:rPr>
                <w:rFonts w:ascii="Times New Roman" w:hAnsi="Times New Roman"/>
                <w:sz w:val="24"/>
                <w:szCs w:val="24"/>
              </w:rPr>
              <w:br/>
              <w:t>faktinis vykdymas ir tuo</w:t>
            </w:r>
            <w:r>
              <w:rPr>
                <w:rFonts w:ascii="Times New Roman" w:hAnsi="Times New Roman"/>
                <w:sz w:val="24"/>
                <w:szCs w:val="24"/>
              </w:rPr>
              <w:br/>
              <w:t>sudaromos palankios sąlygos</w:t>
            </w:r>
            <w:r>
              <w:rPr>
                <w:rFonts w:ascii="Times New Roman" w:hAnsi="Times New Roman"/>
                <w:sz w:val="24"/>
                <w:szCs w:val="24"/>
              </w:rPr>
              <w:br/>
              <w:t>„automatiniams“ statinio</w:t>
            </w:r>
            <w:r>
              <w:rPr>
                <w:rFonts w:ascii="Times New Roman" w:hAnsi="Times New Roman"/>
                <w:sz w:val="24"/>
                <w:szCs w:val="24"/>
              </w:rPr>
              <w:br/>
              <w:t>projekto pritarimams, kurie</w:t>
            </w:r>
            <w:r>
              <w:rPr>
                <w:rFonts w:ascii="Times New Roman" w:hAnsi="Times New Roman"/>
                <w:sz w:val="24"/>
                <w:szCs w:val="24"/>
              </w:rPr>
              <w:br/>
              <w:t>negarantuoja, kad</w:t>
            </w:r>
            <w:r>
              <w:rPr>
                <w:rFonts w:ascii="Times New Roman" w:hAnsi="Times New Roman"/>
                <w:sz w:val="24"/>
                <w:szCs w:val="24"/>
              </w:rPr>
              <w:br/>
              <w:t>savivaldybės administracija</w:t>
            </w:r>
            <w:r>
              <w:rPr>
                <w:rFonts w:ascii="Times New Roman" w:hAnsi="Times New Roman"/>
                <w:sz w:val="24"/>
                <w:szCs w:val="24"/>
              </w:rPr>
              <w:br/>
              <w:t>pagal kompetenciją patikrino</w:t>
            </w:r>
            <w:r>
              <w:rPr>
                <w:rFonts w:ascii="Times New Roman" w:hAnsi="Times New Roman"/>
                <w:sz w:val="24"/>
                <w:szCs w:val="24"/>
              </w:rPr>
              <w:br/>
              <w:t>projekto atitiktį teisės aktų bei</w:t>
            </w:r>
            <w:r>
              <w:rPr>
                <w:rFonts w:ascii="Times New Roman" w:hAnsi="Times New Roman"/>
                <w:sz w:val="24"/>
                <w:szCs w:val="24"/>
              </w:rPr>
              <w:br/>
              <w:t>kitų dokumentų</w:t>
            </w:r>
            <w:r>
              <w:rPr>
                <w:rFonts w:ascii="Times New Roman" w:hAnsi="Times New Roman"/>
                <w:sz w:val="24"/>
                <w:szCs w:val="24"/>
              </w:rPr>
              <w:br/>
              <w:t>reikalavimams.</w:t>
            </w:r>
          </w:p>
        </w:tc>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2CC3D" w14:textId="77777777" w:rsidR="008D59F7" w:rsidRDefault="00000000">
            <w:pPr>
              <w:spacing w:after="0" w:line="240" w:lineRule="auto"/>
            </w:pPr>
            <w:r>
              <w:rPr>
                <w:rFonts w:ascii="Times New Roman" w:eastAsia="Times New Roman" w:hAnsi="Times New Roman"/>
                <w:color w:val="000000"/>
                <w:kern w:val="0"/>
                <w:sz w:val="24"/>
                <w:szCs w:val="24"/>
                <w:lang w:eastAsia="lt-LT"/>
              </w:rPr>
              <w:t>Mažinti „automatinių</w:t>
            </w:r>
            <w:r>
              <w:rPr>
                <w:rFonts w:ascii="Times New Roman" w:eastAsia="Times New Roman" w:hAnsi="Times New Roman"/>
                <w:color w:val="000000"/>
                <w:kern w:val="0"/>
                <w:sz w:val="24"/>
                <w:szCs w:val="24"/>
                <w:lang w:eastAsia="lt-LT"/>
              </w:rPr>
              <w:br/>
              <w:t>pritarimų“ skaičių, užtikrinant</w:t>
            </w:r>
            <w:r>
              <w:rPr>
                <w:rFonts w:ascii="Times New Roman" w:eastAsia="Times New Roman" w:hAnsi="Times New Roman"/>
                <w:color w:val="000000"/>
                <w:kern w:val="0"/>
                <w:sz w:val="24"/>
                <w:szCs w:val="24"/>
                <w:lang w:eastAsia="lt-LT"/>
              </w:rPr>
              <w:br/>
              <w:t>efektyvų atskiriems</w:t>
            </w:r>
            <w:r>
              <w:rPr>
                <w:rFonts w:ascii="Times New Roman" w:eastAsia="Times New Roman" w:hAnsi="Times New Roman"/>
                <w:color w:val="000000"/>
                <w:kern w:val="0"/>
                <w:sz w:val="24"/>
                <w:szCs w:val="24"/>
                <w:lang w:eastAsia="lt-LT"/>
              </w:rPr>
              <w:br/>
              <w:t>darbuotojams pavestų statinio</w:t>
            </w:r>
            <w:r>
              <w:rPr>
                <w:rFonts w:ascii="Times New Roman" w:eastAsia="Times New Roman" w:hAnsi="Times New Roman"/>
                <w:color w:val="000000"/>
                <w:kern w:val="0"/>
                <w:sz w:val="24"/>
                <w:szCs w:val="24"/>
                <w:lang w:eastAsia="lt-LT"/>
              </w:rPr>
              <w:br/>
              <w:t>projekto tvirtinimo funkcijų</w:t>
            </w:r>
            <w:r>
              <w:rPr>
                <w:rFonts w:ascii="Times New Roman" w:eastAsia="Times New Roman" w:hAnsi="Times New Roman"/>
                <w:color w:val="000000"/>
                <w:kern w:val="0"/>
                <w:sz w:val="24"/>
                <w:szCs w:val="24"/>
                <w:lang w:eastAsia="lt-LT"/>
              </w:rPr>
              <w:br/>
              <w:t>vykdymą.</w:t>
            </w:r>
          </w:p>
          <w:p w14:paraId="6EB22B3A" w14:textId="77777777" w:rsidR="008D59F7" w:rsidRDefault="008D59F7">
            <w:pPr>
              <w:spacing w:after="0" w:line="240" w:lineRule="auto"/>
              <w:rPr>
                <w:rFonts w:ascii="Times New Roman" w:hAnsi="Times New Roman"/>
                <w:sz w:val="24"/>
                <w:szCs w:val="24"/>
              </w:rPr>
            </w:pPr>
          </w:p>
        </w:tc>
        <w:tc>
          <w:tcPr>
            <w:tcW w:w="2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137EC" w14:textId="77777777" w:rsidR="008D59F7" w:rsidRDefault="00000000">
            <w:pPr>
              <w:spacing w:after="0" w:line="240" w:lineRule="auto"/>
              <w:rPr>
                <w:rFonts w:ascii="Times New Roman" w:hAnsi="Times New Roman"/>
                <w:sz w:val="24"/>
                <w:szCs w:val="24"/>
              </w:rPr>
            </w:pPr>
            <w:r>
              <w:rPr>
                <w:rFonts w:ascii="Times New Roman" w:hAnsi="Times New Roman"/>
                <w:sz w:val="24"/>
                <w:szCs w:val="24"/>
              </w:rPr>
              <w:t xml:space="preserve">Atsižvelgta. </w:t>
            </w:r>
          </w:p>
          <w:p w14:paraId="2F3B2949" w14:textId="77777777" w:rsidR="008D59F7" w:rsidRDefault="00000000">
            <w:pPr>
              <w:spacing w:after="0" w:line="240" w:lineRule="auto"/>
            </w:pPr>
            <w:r>
              <w:rPr>
                <w:rFonts w:ascii="Times New Roman" w:hAnsi="Times New Roman"/>
                <w:sz w:val="24"/>
                <w:szCs w:val="24"/>
              </w:rPr>
              <w:t>Kauno rajono savivaldybėje statybą leidžiančių dokumentų išdavimo procesas yra reglamentuotas</w:t>
            </w:r>
            <w:r>
              <w:rPr>
                <w:rFonts w:ascii="Times New Roman" w:hAnsi="Times New Roman"/>
                <w:b/>
                <w:bCs/>
                <w:sz w:val="24"/>
                <w:szCs w:val="24"/>
                <w:lang w:val="lv-LV"/>
              </w:rPr>
              <w:t xml:space="preserve"> </w:t>
            </w:r>
            <w:r>
              <w:rPr>
                <w:rFonts w:ascii="Times New Roman" w:hAnsi="Times New Roman"/>
                <w:sz w:val="24"/>
                <w:szCs w:val="24"/>
                <w:lang w:val="lv-LV"/>
              </w:rPr>
              <w:t xml:space="preserve">Statybą leidžiančių dokumentų išdavimo Kauno rajono savivaldybės administracijoje tvarkos apraše, patvirtintame </w:t>
            </w:r>
            <w:r>
              <w:rPr>
                <w:rFonts w:ascii="Times New Roman" w:hAnsi="Times New Roman"/>
                <w:sz w:val="24"/>
                <w:szCs w:val="24"/>
              </w:rPr>
              <w:t xml:space="preserve">Kauno rajono savivaldybės administracijos direktoriaus 2022-08-25 įsakymu Nr. ĮS-3011 „Dėl statybą leidžiančių dokumentų išdavimo Kauno rajono savivaldybės administracijoje tvarkos aprašo patvirtinimo“. </w:t>
            </w:r>
            <w:r>
              <w:rPr>
                <w:rStyle w:val="cf01"/>
                <w:rFonts w:ascii="Times New Roman" w:hAnsi="Times New Roman" w:cs="Times New Roman"/>
                <w:sz w:val="24"/>
                <w:szCs w:val="24"/>
              </w:rPr>
              <w:t xml:space="preserve">Be to, Kauno rajono savivaldybės administracijos direktoriaus 2023-04-21 įsakymu Nr. ĮS-1438 „Dėl pavedimo Savivaldybės administracijos valstybės tarnautojams atlikti statybą leidžiančių dokumentų išdavimo procedūras“ Savivaldybės administracijos valstybės </w:t>
            </w:r>
            <w:r>
              <w:rPr>
                <w:rStyle w:val="cf01"/>
                <w:rFonts w:ascii="Times New Roman" w:hAnsi="Times New Roman" w:cs="Times New Roman"/>
                <w:sz w:val="24"/>
                <w:szCs w:val="24"/>
              </w:rPr>
              <w:lastRenderedPageBreak/>
              <w:t xml:space="preserve">tarnautojams yra pavesta tikrinti statinių statybos projektus. </w:t>
            </w:r>
            <w:r>
              <w:rPr>
                <w:rFonts w:ascii="Times New Roman" w:hAnsi="Times New Roman"/>
                <w:sz w:val="24"/>
                <w:szCs w:val="24"/>
              </w:rPr>
              <w:t>Kauno rajono savivaldybės meras 2023</w:t>
            </w:r>
            <w:r>
              <w:rPr>
                <w:rFonts w:ascii="Times New Roman" w:hAnsi="Times New Roman"/>
                <w:sz w:val="24"/>
                <w:szCs w:val="24"/>
              </w:rPr>
              <w:noBreakHyphen/>
              <w:t>04</w:t>
            </w:r>
            <w:r>
              <w:rPr>
                <w:rFonts w:ascii="Times New Roman" w:hAnsi="Times New Roman"/>
                <w:sz w:val="24"/>
                <w:szCs w:val="24"/>
              </w:rPr>
              <w:noBreakHyphen/>
              <w:t>21 potvarkiu Nr. MP-36 „Dėl įgaliojimo išduoti statybą leidžiančius dokumentus“ įgaliojo Savivaldybės vyriausiąjį architektą išduoti SLD. Pažymėtina, kad minėtas asmuo nedalyvauja kituose procesuose, susijusiuose su SLD išdavimu.</w:t>
            </w: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B931D" w14:textId="77777777" w:rsidR="008D59F7" w:rsidRDefault="008D59F7">
            <w:pPr>
              <w:spacing w:after="0" w:line="240" w:lineRule="auto"/>
            </w:pPr>
          </w:p>
        </w:tc>
      </w:tr>
      <w:tr w:rsidR="008D59F7" w14:paraId="2EF96BF5" w14:textId="77777777">
        <w:tblPrEx>
          <w:tblCellMar>
            <w:top w:w="0" w:type="dxa"/>
            <w:bottom w:w="0" w:type="dxa"/>
          </w:tblCellMar>
        </w:tblPrEx>
        <w:tc>
          <w:tcPr>
            <w:tcW w:w="102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3753" w14:textId="77777777" w:rsidR="008D59F7" w:rsidRDefault="00000000">
            <w:pPr>
              <w:spacing w:after="0" w:line="240" w:lineRule="auto"/>
              <w:jc w:val="center"/>
              <w:rPr>
                <w:rFonts w:ascii="Times New Roman" w:hAnsi="Times New Roman"/>
                <w:i/>
                <w:iCs/>
                <w:sz w:val="24"/>
                <w:szCs w:val="24"/>
              </w:rPr>
            </w:pPr>
            <w:r>
              <w:rPr>
                <w:rFonts w:ascii="Times New Roman" w:hAnsi="Times New Roman"/>
                <w:i/>
                <w:iCs/>
                <w:sz w:val="24"/>
                <w:szCs w:val="24"/>
              </w:rPr>
              <w:t>2. Kitos antikorupcinės pastabos</w:t>
            </w:r>
          </w:p>
        </w:tc>
      </w:tr>
      <w:tr w:rsidR="008D59F7" w14:paraId="61C81ADF" w14:textId="77777777">
        <w:tblPrEx>
          <w:tblCellMar>
            <w:top w:w="0" w:type="dxa"/>
            <w:bottom w:w="0" w:type="dxa"/>
          </w:tblCellMar>
        </w:tblPrEx>
        <w:tc>
          <w:tcPr>
            <w:tcW w:w="2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F52C6" w14:textId="77777777" w:rsidR="008D59F7" w:rsidRDefault="00000000">
            <w:pPr>
              <w:spacing w:after="0" w:line="240" w:lineRule="auto"/>
            </w:pPr>
            <w:r>
              <w:rPr>
                <w:rFonts w:ascii="Times New Roman" w:hAnsi="Times New Roman"/>
                <w:kern w:val="0"/>
                <w:sz w:val="24"/>
                <w:szCs w:val="24"/>
              </w:rPr>
              <w:t>Savivaldybėms taikant praktiką, kai konsultacijos suteikiamos tiesiogiai, sudaromos galimybės suinteresuotam asmeniui tiesiogiai susisiekti su tikrinančiuoju savivaldybės tarnautoju, dėl ko kyla grėsmė atsirasti galimai neteisėtiems susitarimams, piktnaudžiauti padėtimi ar kitiems neigiamiems reiškiniams pasireikšti</w:t>
            </w:r>
          </w:p>
        </w:tc>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73552" w14:textId="77777777" w:rsidR="008D59F7" w:rsidRDefault="00000000">
            <w:pPr>
              <w:spacing w:after="0" w:line="240" w:lineRule="auto"/>
              <w:rPr>
                <w:rFonts w:ascii="Times New Roman" w:hAnsi="Times New Roman"/>
                <w:sz w:val="24"/>
                <w:szCs w:val="24"/>
              </w:rPr>
            </w:pPr>
            <w:r>
              <w:rPr>
                <w:rFonts w:ascii="Times New Roman" w:hAnsi="Times New Roman"/>
                <w:sz w:val="24"/>
                <w:szCs w:val="24"/>
              </w:rPr>
              <w:t>Siekti didesnio „veiksmų atsekamumo“ vykdant konsultacijas dėl statybą leidžiančių dokumentų išdavimo. Numatyti savivaldybės vidaus teisės akte (pavyzdžiui, tvarkos apraše), jog konsultacijos, susijusios su statybą leidžiančių dokumentų išdavimu, vyktų elektroninėje erdvėje per IS „</w:t>
            </w:r>
            <w:proofErr w:type="spellStart"/>
            <w:r>
              <w:rPr>
                <w:rFonts w:ascii="Times New Roman" w:hAnsi="Times New Roman"/>
                <w:sz w:val="24"/>
                <w:szCs w:val="24"/>
              </w:rPr>
              <w:t>Infostatyba</w:t>
            </w:r>
            <w:proofErr w:type="spellEnd"/>
            <w:r>
              <w:rPr>
                <w:rFonts w:ascii="Times New Roman" w:hAnsi="Times New Roman"/>
                <w:sz w:val="24"/>
                <w:szCs w:val="24"/>
              </w:rPr>
              <w:t>“.</w:t>
            </w:r>
          </w:p>
        </w:tc>
        <w:tc>
          <w:tcPr>
            <w:tcW w:w="2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557E3" w14:textId="77777777" w:rsidR="008D59F7" w:rsidRDefault="00000000">
            <w:pPr>
              <w:spacing w:after="0" w:line="240" w:lineRule="auto"/>
            </w:pPr>
            <w:r>
              <w:rPr>
                <w:rFonts w:ascii="Times New Roman" w:hAnsi="Times New Roman"/>
                <w:sz w:val="24"/>
                <w:szCs w:val="24"/>
              </w:rPr>
              <w:t>Atsižvelgta. Statybą leidžiančių dokumentų išdavimo Kauno rajono savivaldybės administracijoje tvarkos apraše, patvirtintame Kauno rajono savivaldybės administracijos direktoriaus 2022-08-25 įsakymu Nr. ĮS-3011 „Dėl statybą leidžiančių dokumentų išdavimo Kauno rajono savivaldybės administracijoje tvarkos aprašo patvirtinimo“, numatoma reglamentuoti, kad visos konsultacijos, susijusios su statybą leidžiančių dokumentų išdavimu, vyktų elektroninėje erdvėje per IS „</w:t>
            </w:r>
            <w:proofErr w:type="spellStart"/>
            <w:r>
              <w:rPr>
                <w:rFonts w:ascii="Times New Roman" w:hAnsi="Times New Roman"/>
                <w:sz w:val="24"/>
                <w:szCs w:val="24"/>
              </w:rPr>
              <w:t>Infostatyba</w:t>
            </w:r>
            <w:proofErr w:type="spellEnd"/>
            <w:r>
              <w:rPr>
                <w:rFonts w:ascii="Times New Roman" w:hAnsi="Times New Roman"/>
                <w:sz w:val="24"/>
                <w:szCs w:val="24"/>
              </w:rPr>
              <w:t>“.</w:t>
            </w: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99C26" w14:textId="77777777" w:rsidR="008D59F7" w:rsidRDefault="008D59F7">
            <w:pPr>
              <w:spacing w:after="0" w:line="240" w:lineRule="auto"/>
            </w:pPr>
          </w:p>
        </w:tc>
      </w:tr>
      <w:tr w:rsidR="008D59F7" w14:paraId="40993869" w14:textId="77777777">
        <w:tblPrEx>
          <w:tblCellMar>
            <w:top w:w="0" w:type="dxa"/>
            <w:bottom w:w="0" w:type="dxa"/>
          </w:tblCellMar>
        </w:tblPrEx>
        <w:tc>
          <w:tcPr>
            <w:tcW w:w="102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BB846" w14:textId="77777777" w:rsidR="008D59F7" w:rsidRDefault="00000000">
            <w:pPr>
              <w:spacing w:after="0" w:line="240" w:lineRule="auto"/>
              <w:jc w:val="center"/>
              <w:rPr>
                <w:rFonts w:ascii="Times New Roman" w:hAnsi="Times New Roman"/>
                <w:i/>
                <w:iCs/>
                <w:sz w:val="24"/>
                <w:szCs w:val="24"/>
              </w:rPr>
            </w:pPr>
            <w:r>
              <w:rPr>
                <w:rFonts w:ascii="Times New Roman" w:hAnsi="Times New Roman"/>
                <w:i/>
                <w:iCs/>
                <w:sz w:val="24"/>
                <w:szCs w:val="24"/>
              </w:rPr>
              <w:lastRenderedPageBreak/>
              <w:t>3. Kitos pastabos</w:t>
            </w:r>
          </w:p>
        </w:tc>
      </w:tr>
      <w:tr w:rsidR="008D59F7" w14:paraId="50854678" w14:textId="77777777">
        <w:tblPrEx>
          <w:tblCellMar>
            <w:top w:w="0" w:type="dxa"/>
            <w:bottom w:w="0" w:type="dxa"/>
          </w:tblCellMar>
        </w:tblPrEx>
        <w:tc>
          <w:tcPr>
            <w:tcW w:w="2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5EBF6" w14:textId="14BE3D2C" w:rsidR="008D59F7" w:rsidRPr="008312F0" w:rsidRDefault="008312F0" w:rsidP="008312F0">
            <w:pPr>
              <w:spacing w:after="0" w:line="240" w:lineRule="auto"/>
              <w:jc w:val="center"/>
              <w:rPr>
                <w:strike/>
              </w:rPr>
            </w:pPr>
            <w:r>
              <w:rPr>
                <w:strike/>
              </w:rPr>
              <w:t>–</w:t>
            </w:r>
          </w:p>
        </w:tc>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A11B6" w14:textId="5B17EBBC" w:rsidR="008D59F7" w:rsidRDefault="008312F0" w:rsidP="008312F0">
            <w:pPr>
              <w:spacing w:after="0" w:line="240" w:lineRule="auto"/>
              <w:jc w:val="center"/>
            </w:pPr>
            <w:r>
              <w:t>–</w:t>
            </w:r>
          </w:p>
        </w:tc>
        <w:tc>
          <w:tcPr>
            <w:tcW w:w="2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648B0" w14:textId="3FBB808F" w:rsidR="008D59F7" w:rsidRDefault="008312F0" w:rsidP="008312F0">
            <w:pPr>
              <w:spacing w:after="0" w:line="240" w:lineRule="auto"/>
              <w:jc w:val="center"/>
            </w:pPr>
            <w:r>
              <w:t>–</w:t>
            </w: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F4C0D" w14:textId="77777777" w:rsidR="008D59F7" w:rsidRDefault="008D59F7">
            <w:pPr>
              <w:spacing w:after="0" w:line="240" w:lineRule="auto"/>
            </w:pPr>
          </w:p>
        </w:tc>
      </w:tr>
    </w:tbl>
    <w:p w14:paraId="610FC1AF" w14:textId="066A3057" w:rsidR="008D59F7" w:rsidRDefault="00000000" w:rsidP="008312F0">
      <w:pPr>
        <w:spacing w:line="276" w:lineRule="auto"/>
        <w:jc w:val="center"/>
        <w:rPr>
          <w:rFonts w:ascii="Times New Roman" w:hAnsi="Times New Roman"/>
          <w:sz w:val="24"/>
          <w:szCs w:val="24"/>
        </w:rPr>
      </w:pPr>
      <w:r>
        <w:rPr>
          <w:rFonts w:ascii="Times New Roman" w:hAnsi="Times New Roman"/>
          <w:sz w:val="24"/>
          <w:szCs w:val="24"/>
        </w:rPr>
        <w:t>__________</w:t>
      </w:r>
    </w:p>
    <w:p w14:paraId="34863A28" w14:textId="77777777" w:rsidR="008D59F7" w:rsidRDefault="008D59F7">
      <w:pPr>
        <w:rPr>
          <w:rFonts w:ascii="Times New Roman" w:hAnsi="Times New Roman"/>
          <w:sz w:val="24"/>
          <w:szCs w:val="24"/>
          <w:u w:val="single"/>
        </w:rPr>
      </w:pPr>
    </w:p>
    <w:sectPr w:rsidR="008D59F7">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4A453" w14:textId="77777777" w:rsidR="0038537E" w:rsidRDefault="0038537E">
      <w:pPr>
        <w:spacing w:after="0" w:line="240" w:lineRule="auto"/>
      </w:pPr>
      <w:r>
        <w:separator/>
      </w:r>
    </w:p>
  </w:endnote>
  <w:endnote w:type="continuationSeparator" w:id="0">
    <w:p w14:paraId="5912916D" w14:textId="77777777" w:rsidR="0038537E" w:rsidRDefault="00385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BoldM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TimesNewRomanPS-ItalicM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1AE89" w14:textId="77777777" w:rsidR="0038537E" w:rsidRDefault="0038537E">
      <w:pPr>
        <w:spacing w:after="0" w:line="240" w:lineRule="auto"/>
      </w:pPr>
      <w:r>
        <w:rPr>
          <w:color w:val="000000"/>
        </w:rPr>
        <w:separator/>
      </w:r>
    </w:p>
  </w:footnote>
  <w:footnote w:type="continuationSeparator" w:id="0">
    <w:p w14:paraId="2F9D973B" w14:textId="77777777" w:rsidR="0038537E" w:rsidRDefault="003853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9F7"/>
    <w:rsid w:val="0038537E"/>
    <w:rsid w:val="00507C48"/>
    <w:rsid w:val="008312F0"/>
    <w:rsid w:val="008D59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17C52"/>
  <w15:docId w15:val="{5CA0A324-991D-41AE-84E7-C0F4BD6DA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autoSpaceDN w:val="0"/>
      <w:spacing w:after="160" w:line="254" w:lineRule="auto"/>
      <w:textAlignment w:val="baseline"/>
    </w:pPr>
    <w:rPr>
      <w:kern w:val="3"/>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819"/>
        <w:tab w:val="right" w:pos="9638"/>
      </w:tabs>
      <w:spacing w:after="0" w:line="240" w:lineRule="auto"/>
    </w:pPr>
  </w:style>
  <w:style w:type="character" w:customStyle="1" w:styleId="AntratsDiagrama">
    <w:name w:val="Antraštės Diagrama"/>
    <w:basedOn w:val="Numatytasispastraiposriftas"/>
  </w:style>
  <w:style w:type="paragraph" w:styleId="Porat">
    <w:name w:val="footer"/>
    <w:basedOn w:val="prastasis"/>
    <w:pPr>
      <w:tabs>
        <w:tab w:val="center" w:pos="4819"/>
        <w:tab w:val="right" w:pos="9638"/>
      </w:tabs>
      <w:spacing w:after="0" w:line="240" w:lineRule="auto"/>
    </w:pPr>
  </w:style>
  <w:style w:type="character" w:customStyle="1" w:styleId="PoratDiagrama">
    <w:name w:val="Poraštė Diagrama"/>
    <w:basedOn w:val="Numatytasispastraiposriftas"/>
  </w:style>
  <w:style w:type="character" w:customStyle="1" w:styleId="fontstyle01">
    <w:name w:val="fontstyle01"/>
    <w:rPr>
      <w:rFonts w:ascii="TimesNewRomanPS-BoldMT" w:hAnsi="TimesNewRomanPS-BoldMT"/>
      <w:b/>
      <w:bCs/>
      <w:i w:val="0"/>
      <w:iCs w:val="0"/>
      <w:color w:val="000000"/>
      <w:sz w:val="24"/>
      <w:szCs w:val="24"/>
    </w:rPr>
  </w:style>
  <w:style w:type="paragraph" w:customStyle="1" w:styleId="pf0">
    <w:name w:val="pf0"/>
    <w:basedOn w:val="prastasis"/>
    <w:pPr>
      <w:spacing w:before="100" w:after="100" w:line="240" w:lineRule="auto"/>
    </w:pPr>
    <w:rPr>
      <w:rFonts w:ascii="Times New Roman" w:eastAsia="Times New Roman" w:hAnsi="Times New Roman"/>
      <w:kern w:val="0"/>
      <w:sz w:val="24"/>
      <w:szCs w:val="24"/>
      <w:lang w:eastAsia="lt-LT"/>
    </w:rPr>
  </w:style>
  <w:style w:type="character" w:customStyle="1" w:styleId="cf01">
    <w:name w:val="cf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1956</Words>
  <Characters>1116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Remeikienė</dc:creator>
  <dc:description/>
  <cp:lastModifiedBy>Irena Remeikiene</cp:lastModifiedBy>
  <cp:revision>2</cp:revision>
  <dcterms:created xsi:type="dcterms:W3CDTF">2023-10-17T05:23:00Z</dcterms:created>
  <dcterms:modified xsi:type="dcterms:W3CDTF">2023-10-17T05:23:00Z</dcterms:modified>
</cp:coreProperties>
</file>