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52318" w14:textId="7DA48B3D" w:rsidR="007B4CDA" w:rsidRDefault="007B4CDA" w:rsidP="00AE0B07">
      <w:pPr>
        <w:tabs>
          <w:tab w:val="center" w:pos="4153"/>
          <w:tab w:val="right" w:pos="8306"/>
        </w:tabs>
        <w:rPr>
          <w:lang w:eastAsia="lt-LT"/>
        </w:rPr>
      </w:pPr>
    </w:p>
    <w:p w14:paraId="1900371F" w14:textId="77777777" w:rsidR="007B4CDA" w:rsidRDefault="00AE0B07">
      <w:pPr>
        <w:jc w:val="center"/>
        <w:rPr>
          <w:rFonts w:ascii="TimesLT" w:hAnsi="TimesLT"/>
          <w:sz w:val="16"/>
          <w:szCs w:val="16"/>
          <w:lang w:eastAsia="lt-LT"/>
        </w:rPr>
      </w:pPr>
      <w:r>
        <w:rPr>
          <w:noProof/>
          <w:sz w:val="26"/>
          <w:lang w:eastAsia="lt-LT"/>
        </w:rPr>
        <w:drawing>
          <wp:inline distT="0" distB="0" distL="0" distR="0" wp14:anchorId="5F86C075" wp14:editId="4F92232B">
            <wp:extent cx="514350" cy="619125"/>
            <wp:effectExtent l="0" t="0" r="0" b="9525"/>
            <wp:docPr id="2"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384F6D37" w14:textId="77777777" w:rsidR="007B4CDA" w:rsidRDefault="007B4CDA">
      <w:pPr>
        <w:jc w:val="center"/>
        <w:rPr>
          <w:rFonts w:ascii="TimesLT" w:hAnsi="TimesLT"/>
          <w:sz w:val="16"/>
          <w:szCs w:val="16"/>
          <w:lang w:eastAsia="lt-LT"/>
        </w:rPr>
      </w:pPr>
    </w:p>
    <w:p w14:paraId="5A1D9F5C" w14:textId="77777777" w:rsidR="007B4CDA" w:rsidRDefault="007B4CDA">
      <w:pPr>
        <w:jc w:val="center"/>
        <w:rPr>
          <w:rFonts w:ascii="TimesLT" w:hAnsi="TimesLT"/>
          <w:sz w:val="16"/>
          <w:szCs w:val="16"/>
          <w:lang w:eastAsia="lt-LT"/>
        </w:rPr>
      </w:pPr>
    </w:p>
    <w:p w14:paraId="3D777818" w14:textId="77777777" w:rsidR="007B4CDA" w:rsidRDefault="00AE0B07">
      <w:pPr>
        <w:jc w:val="center"/>
        <w:rPr>
          <w:b/>
          <w:sz w:val="28"/>
          <w:lang w:eastAsia="lt-LT"/>
        </w:rPr>
      </w:pPr>
      <w:r>
        <w:rPr>
          <w:b/>
          <w:sz w:val="28"/>
          <w:lang w:eastAsia="lt-LT"/>
        </w:rPr>
        <w:t>KAUNO  RAJONO  SAVIVALDYBĖS  TARYBA</w:t>
      </w:r>
    </w:p>
    <w:p w14:paraId="2B470B3C" w14:textId="77777777" w:rsidR="007B4CDA" w:rsidRDefault="007B4CDA">
      <w:pPr>
        <w:jc w:val="center"/>
        <w:rPr>
          <w:b/>
          <w:sz w:val="28"/>
          <w:lang w:eastAsia="lt-LT"/>
        </w:rPr>
      </w:pPr>
    </w:p>
    <w:p w14:paraId="0967E5ED" w14:textId="11B6787B" w:rsidR="007B4CDA" w:rsidRDefault="00AE0B07">
      <w:pPr>
        <w:jc w:val="center"/>
        <w:rPr>
          <w:b/>
          <w:sz w:val="28"/>
          <w:szCs w:val="28"/>
          <w:lang w:eastAsia="lt-LT"/>
        </w:rPr>
      </w:pPr>
      <w:r>
        <w:rPr>
          <w:b/>
          <w:sz w:val="28"/>
          <w:szCs w:val="28"/>
          <w:lang w:eastAsia="lt-LT"/>
        </w:rPr>
        <w:t>9 POSĖDIS</w:t>
      </w:r>
    </w:p>
    <w:p w14:paraId="4E5AFAFF" w14:textId="7B1C4826" w:rsidR="007B4CDA" w:rsidRDefault="007B4CDA">
      <w:pPr>
        <w:jc w:val="center"/>
        <w:rPr>
          <w:b/>
          <w:sz w:val="28"/>
          <w:szCs w:val="28"/>
          <w:lang w:eastAsia="lt-LT"/>
        </w:rPr>
      </w:pPr>
    </w:p>
    <w:p w14:paraId="363CA8F6" w14:textId="77777777" w:rsidR="007B4CDA" w:rsidRDefault="00AE0B07">
      <w:pPr>
        <w:jc w:val="center"/>
        <w:rPr>
          <w:b/>
          <w:szCs w:val="24"/>
          <w:lang w:eastAsia="lt-LT"/>
        </w:rPr>
      </w:pPr>
      <w:r>
        <w:rPr>
          <w:b/>
          <w:szCs w:val="24"/>
          <w:lang w:eastAsia="lt-LT"/>
        </w:rPr>
        <w:t>SPRENDIMAS</w:t>
      </w:r>
    </w:p>
    <w:p w14:paraId="502AADF9" w14:textId="77777777" w:rsidR="007B4CDA" w:rsidRDefault="00AE0B07">
      <w:pPr>
        <w:jc w:val="center"/>
        <w:rPr>
          <w:rFonts w:eastAsia="Calibri"/>
          <w:b/>
          <w:bCs/>
          <w:szCs w:val="24"/>
        </w:rPr>
      </w:pPr>
      <w:r>
        <w:rPr>
          <w:b/>
          <w:szCs w:val="24"/>
          <w:lang w:eastAsia="lt-LT"/>
        </w:rPr>
        <w:t xml:space="preserve">DĖL </w:t>
      </w:r>
      <w:r>
        <w:rPr>
          <w:rFonts w:eastAsia="Calibri"/>
          <w:b/>
          <w:szCs w:val="24"/>
        </w:rPr>
        <w:t>SKOLŲ IŠIEŠKOJIMO, PRIPAŽINIMO BEVILTIŠKOMIS, JŲ APSKAITOS IR NURAŠYMO TVARKOS APRAŠO PATVIRTINIMO</w:t>
      </w:r>
      <w:r>
        <w:rPr>
          <w:b/>
          <w:szCs w:val="24"/>
          <w:lang w:eastAsia="lt-LT"/>
        </w:rPr>
        <w:t xml:space="preserve"> </w:t>
      </w:r>
      <w:r>
        <w:rPr>
          <w:rFonts w:eastAsia="Calibri"/>
          <w:b/>
          <w:bCs/>
          <w:szCs w:val="24"/>
        </w:rPr>
        <w:t xml:space="preserve"> </w:t>
      </w:r>
    </w:p>
    <w:p w14:paraId="106103AD" w14:textId="77777777" w:rsidR="007B4CDA" w:rsidRDefault="007B4CDA">
      <w:pPr>
        <w:jc w:val="center"/>
        <w:rPr>
          <w:b/>
          <w:sz w:val="28"/>
          <w:szCs w:val="28"/>
          <w:lang w:eastAsia="lt-LT"/>
        </w:rPr>
      </w:pPr>
    </w:p>
    <w:p w14:paraId="74D6ABA2" w14:textId="7D20E87C" w:rsidR="007B4CDA" w:rsidRDefault="00AE0B07">
      <w:pPr>
        <w:jc w:val="center"/>
        <w:rPr>
          <w:szCs w:val="24"/>
          <w:lang w:eastAsia="lt-LT"/>
        </w:rPr>
      </w:pPr>
      <w:r>
        <w:rPr>
          <w:szCs w:val="24"/>
          <w:lang w:eastAsia="lt-LT"/>
        </w:rPr>
        <w:t>2022 m. spalio 27 d. Nr. TS-334</w:t>
      </w:r>
    </w:p>
    <w:p w14:paraId="6A8350FF" w14:textId="77777777" w:rsidR="007B4CDA" w:rsidRDefault="00AE0B07">
      <w:pPr>
        <w:jc w:val="center"/>
        <w:rPr>
          <w:szCs w:val="24"/>
          <w:lang w:eastAsia="lt-LT"/>
        </w:rPr>
      </w:pPr>
      <w:r>
        <w:rPr>
          <w:szCs w:val="24"/>
          <w:lang w:eastAsia="lt-LT"/>
        </w:rPr>
        <w:t>Kaunas</w:t>
      </w:r>
    </w:p>
    <w:p w14:paraId="4AC73D3F" w14:textId="77777777" w:rsidR="007B4CDA" w:rsidRDefault="007B4CDA">
      <w:pPr>
        <w:jc w:val="center"/>
        <w:rPr>
          <w:szCs w:val="24"/>
          <w:lang w:eastAsia="lt-LT"/>
        </w:rPr>
      </w:pPr>
    </w:p>
    <w:p w14:paraId="15CBF4AE" w14:textId="77777777" w:rsidR="007B4CDA" w:rsidRDefault="00AE0B07">
      <w:pPr>
        <w:spacing w:line="348" w:lineRule="auto"/>
        <w:ind w:firstLine="851"/>
        <w:jc w:val="both"/>
        <w:rPr>
          <w:szCs w:val="24"/>
          <w:lang w:eastAsia="lt-LT"/>
        </w:rPr>
      </w:pPr>
      <w:r>
        <w:rPr>
          <w:rFonts w:eastAsia="Calibri"/>
          <w:szCs w:val="24"/>
        </w:rPr>
        <w:t xml:space="preserve">Vadovaudamasi Lietuvos Respublikos vietos savivaldos įstatymo 16 straipsnio 2 dalies 26 punktu, </w:t>
      </w:r>
      <w:r>
        <w:rPr>
          <w:rFonts w:eastAsia="Calibri"/>
          <w:bCs/>
          <w:color w:val="000000"/>
          <w:szCs w:val="24"/>
        </w:rPr>
        <w:t xml:space="preserve">Skolų beviltiškumo bei pastangų susigrąžinti šias skolas įrodymo ir beviltiškų skolų sumų apskaičiavimo taisyklėmis, patvirtintomis </w:t>
      </w:r>
      <w:r>
        <w:rPr>
          <w:rFonts w:eastAsia="Calibri"/>
          <w:szCs w:val="24"/>
        </w:rPr>
        <w:t xml:space="preserve">Lietuvos Respublikos finansų ministro 2002 m. vasario 11 d. įsakymu Nr. 40 „Dėl skolų beviltiškumo bei pastangų susigrąžinti šias skolas įrodymo ir beviltiškų skolų sumų apskaičiavimo taisyklių patvirtinimo“, Inventorizacijos taisyklėmis, patvirtintomis Lietuvos Respublikos Vyriausybės </w:t>
      </w:r>
      <w:r>
        <w:rPr>
          <w:rFonts w:eastAsia="Calibri"/>
          <w:szCs w:val="24"/>
        </w:rPr>
        <w:br/>
        <w:t xml:space="preserve">2022 m. birželio 15 d. nutarimu Nr. 630 „Dėl Inventorizacijos taisyklių patvirtinimo“, Viešojo sektoriaus subjektų finansinių atskaitų rinkinių konsolidavimo tvarkos aprašu, patvirtintu Lietuvos Respublikos finansų ministro 2011 m. balandžio 19 d. įsakymu Nr. 1K-152 „Dėl Viešojo sektoriaus subjektų finansinių ataskaitų rinkinio konsolidavimo“, 17-uoju viešojo sektoriaus apskaitos ir finansinės atskaitomybės standartu „Finansinis turtas ir finansiniai įsipareigojimai“, patvirtintu Lietuvos Respublikos finansų ministro 2008 m. birželio 27 d. įsakymu Nr. 1K-223 „Dėl Viešojo sektoriaus apskaitos ir finansinės atskaitomybės 17-ojo standarto patvirtinimo“, </w:t>
      </w:r>
      <w:r>
        <w:rPr>
          <w:szCs w:val="24"/>
          <w:lang w:eastAsia="lt-LT"/>
        </w:rPr>
        <w:t>Kauno rajono savivaldybės taryba n u s p r e n d ž i a:</w:t>
      </w:r>
    </w:p>
    <w:p w14:paraId="4C767BD8" w14:textId="77777777" w:rsidR="007B4CDA" w:rsidRDefault="00AE0B07">
      <w:pPr>
        <w:spacing w:line="348" w:lineRule="auto"/>
        <w:ind w:firstLine="851"/>
        <w:jc w:val="both"/>
        <w:rPr>
          <w:szCs w:val="24"/>
          <w:lang w:eastAsia="lt-LT"/>
        </w:rPr>
      </w:pPr>
      <w:r>
        <w:rPr>
          <w:rFonts w:eastAsia="Calibri"/>
          <w:szCs w:val="24"/>
        </w:rPr>
        <w:t>Patvirtinti</w:t>
      </w:r>
      <w:r>
        <w:rPr>
          <w:rFonts w:ascii="Calibri" w:eastAsia="Calibri" w:hAnsi="Calibri"/>
          <w:sz w:val="22"/>
          <w:szCs w:val="22"/>
        </w:rPr>
        <w:t xml:space="preserve"> </w:t>
      </w:r>
      <w:r>
        <w:rPr>
          <w:szCs w:val="24"/>
          <w:lang w:eastAsia="lt-LT"/>
        </w:rPr>
        <w:t>Skolų išieškojimo, pripažinimo beviltiškomis, jų apskaitos ir nurašymo tvarkos aprašą (pridedama).</w:t>
      </w:r>
    </w:p>
    <w:p w14:paraId="7879F5FE" w14:textId="77777777" w:rsidR="007B4CDA" w:rsidRDefault="00AE0B07">
      <w:pPr>
        <w:spacing w:line="348" w:lineRule="auto"/>
        <w:ind w:firstLine="851"/>
        <w:jc w:val="both"/>
        <w:rPr>
          <w:szCs w:val="24"/>
          <w:lang w:eastAsia="lt-LT"/>
        </w:rPr>
      </w:pPr>
      <w:r>
        <w:rPr>
          <w:szCs w:val="24"/>
          <w:lang w:eastAsia="lt-LT"/>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79DEFA05" w14:textId="51DAF1D3" w:rsidR="007B4CDA" w:rsidRDefault="007B4CDA">
      <w:pPr>
        <w:tabs>
          <w:tab w:val="right" w:pos="9072"/>
        </w:tabs>
        <w:jc w:val="both"/>
        <w:rPr>
          <w:szCs w:val="24"/>
          <w:lang w:eastAsia="lt-LT"/>
        </w:rPr>
      </w:pPr>
    </w:p>
    <w:p w14:paraId="577C0D82" w14:textId="77777777" w:rsidR="007B4CDA" w:rsidRDefault="007B4CDA">
      <w:pPr>
        <w:tabs>
          <w:tab w:val="right" w:pos="9072"/>
        </w:tabs>
        <w:jc w:val="both"/>
        <w:rPr>
          <w:szCs w:val="24"/>
          <w:lang w:eastAsia="lt-LT"/>
        </w:rPr>
      </w:pPr>
    </w:p>
    <w:p w14:paraId="7A2A8F9E" w14:textId="1FE1C843" w:rsidR="007B4CDA" w:rsidRDefault="00AE0B07">
      <w:pPr>
        <w:tabs>
          <w:tab w:val="right" w:pos="9072"/>
        </w:tabs>
        <w:jc w:val="both"/>
      </w:pPr>
      <w:r>
        <w:rPr>
          <w:szCs w:val="24"/>
          <w:lang w:eastAsia="lt-LT"/>
        </w:rPr>
        <w:t xml:space="preserve">Savivaldybės meras </w:t>
      </w:r>
      <w:r>
        <w:rPr>
          <w:szCs w:val="24"/>
          <w:lang w:eastAsia="lt-LT"/>
        </w:rPr>
        <w:tab/>
        <w:t>Valerijus Makūnas</w:t>
      </w:r>
    </w:p>
    <w:p w14:paraId="33CC7F4B" w14:textId="3B06B55E" w:rsidR="007B4CDA" w:rsidRDefault="007B4CDA">
      <w:pPr>
        <w:tabs>
          <w:tab w:val="right" w:pos="9072"/>
        </w:tabs>
        <w:jc w:val="both"/>
      </w:pPr>
    </w:p>
    <w:p w14:paraId="09B27708" w14:textId="77777777" w:rsidR="007B4CDA" w:rsidRDefault="007B4CDA">
      <w:pPr>
        <w:tabs>
          <w:tab w:val="center" w:pos="4153"/>
          <w:tab w:val="right" w:pos="8306"/>
        </w:tabs>
        <w:rPr>
          <w:rFonts w:ascii="TimesLT" w:hAnsi="TimesLT"/>
          <w:sz w:val="26"/>
          <w:lang w:eastAsia="lt-LT"/>
        </w:rPr>
      </w:pPr>
    </w:p>
    <w:p w14:paraId="7D72E2E6" w14:textId="77777777" w:rsidR="00AE0B07" w:rsidRDefault="00AE0B07">
      <w:pPr>
        <w:widowControl w:val="0"/>
        <w:tabs>
          <w:tab w:val="left" w:pos="5680"/>
        </w:tabs>
        <w:suppressAutoHyphens/>
        <w:ind w:firstLine="5022"/>
        <w:sectPr w:rsidR="00AE0B0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1296"/>
          <w:titlePg/>
        </w:sectPr>
      </w:pPr>
    </w:p>
    <w:p w14:paraId="1E8D3624" w14:textId="01C1A8BC" w:rsidR="007B4CDA" w:rsidRDefault="00AE0B07" w:rsidP="00AE0B07">
      <w:pPr>
        <w:widowControl w:val="0"/>
        <w:tabs>
          <w:tab w:val="left" w:pos="5680"/>
        </w:tabs>
        <w:suppressAutoHyphens/>
        <w:ind w:firstLine="4536"/>
        <w:rPr>
          <w:rFonts w:eastAsia="SimSun" w:cs="Tahoma"/>
          <w:color w:val="000000"/>
          <w:kern w:val="2"/>
          <w:szCs w:val="24"/>
          <w:lang w:eastAsia="hi-IN" w:bidi="hi-IN"/>
        </w:rPr>
      </w:pPr>
      <w:r>
        <w:rPr>
          <w:rFonts w:eastAsia="SimSun" w:cs="Tahoma"/>
          <w:color w:val="000000"/>
          <w:kern w:val="2"/>
          <w:szCs w:val="24"/>
          <w:lang w:eastAsia="hi-IN" w:bidi="hi-IN"/>
        </w:rPr>
        <w:lastRenderedPageBreak/>
        <w:t>PATVIRTINTA</w:t>
      </w:r>
    </w:p>
    <w:p w14:paraId="2A62BA74" w14:textId="77777777" w:rsidR="007B4CDA" w:rsidRDefault="00AE0B07" w:rsidP="00AE0B07">
      <w:pPr>
        <w:widowControl w:val="0"/>
        <w:tabs>
          <w:tab w:val="left" w:pos="5680"/>
        </w:tabs>
        <w:suppressAutoHyphens/>
        <w:ind w:firstLine="4536"/>
        <w:rPr>
          <w:rFonts w:eastAsia="SimSun" w:cs="Tahoma"/>
          <w:color w:val="000000"/>
          <w:kern w:val="2"/>
          <w:szCs w:val="24"/>
          <w:lang w:eastAsia="hi-IN" w:bidi="hi-IN"/>
        </w:rPr>
      </w:pPr>
      <w:r>
        <w:rPr>
          <w:rFonts w:eastAsia="SimSun" w:cs="Tahoma"/>
          <w:color w:val="000000"/>
          <w:kern w:val="2"/>
          <w:szCs w:val="24"/>
          <w:lang w:eastAsia="hi-IN" w:bidi="hi-IN"/>
        </w:rPr>
        <w:t>Kauno rajono savivaldybės tarybos</w:t>
      </w:r>
    </w:p>
    <w:p w14:paraId="2897B089" w14:textId="77777777" w:rsidR="007B4CDA" w:rsidRDefault="00AE0B07" w:rsidP="00AE0B07">
      <w:pPr>
        <w:widowControl w:val="0"/>
        <w:tabs>
          <w:tab w:val="left" w:pos="9072"/>
        </w:tabs>
        <w:suppressAutoHyphens/>
        <w:ind w:firstLine="4536"/>
        <w:rPr>
          <w:rFonts w:eastAsia="SimSun" w:cs="Tahoma"/>
          <w:color w:val="000000"/>
          <w:kern w:val="2"/>
          <w:szCs w:val="24"/>
          <w:lang w:eastAsia="hi-IN" w:bidi="hi-IN"/>
        </w:rPr>
      </w:pPr>
      <w:r>
        <w:rPr>
          <w:rFonts w:eastAsia="SimSun" w:cs="Tahoma"/>
          <w:color w:val="000000"/>
          <w:kern w:val="2"/>
          <w:szCs w:val="24"/>
          <w:lang w:eastAsia="hi-IN" w:bidi="hi-IN"/>
        </w:rPr>
        <w:t>2022 m. spalio 27 d. sprendimu Nr. TS-334</w:t>
      </w:r>
    </w:p>
    <w:p w14:paraId="5E5C3AAE" w14:textId="77777777" w:rsidR="007B4CDA" w:rsidRDefault="007B4CDA">
      <w:pPr>
        <w:widowControl w:val="0"/>
        <w:tabs>
          <w:tab w:val="center" w:pos="4819"/>
          <w:tab w:val="right" w:pos="9638"/>
        </w:tabs>
        <w:suppressAutoHyphens/>
        <w:jc w:val="right"/>
        <w:rPr>
          <w:rFonts w:eastAsia="SimSun" w:cs="Tahoma"/>
          <w:b/>
          <w:kern w:val="2"/>
          <w:szCs w:val="24"/>
          <w:lang w:eastAsia="hi-IN" w:bidi="hi-IN"/>
        </w:rPr>
      </w:pPr>
    </w:p>
    <w:p w14:paraId="134406EC" w14:textId="77777777" w:rsidR="007B4CDA" w:rsidRDefault="007B4CDA">
      <w:pPr>
        <w:widowControl w:val="0"/>
        <w:tabs>
          <w:tab w:val="left" w:pos="5680"/>
        </w:tabs>
        <w:suppressAutoHyphens/>
        <w:jc w:val="center"/>
        <w:rPr>
          <w:rFonts w:eastAsia="SimSun" w:cs="Tahoma"/>
          <w:color w:val="000000"/>
          <w:kern w:val="2"/>
          <w:szCs w:val="24"/>
          <w:lang w:eastAsia="hi-IN" w:bidi="hi-IN"/>
        </w:rPr>
      </w:pPr>
    </w:p>
    <w:p w14:paraId="33CA39D1" w14:textId="77777777" w:rsidR="007B4CDA" w:rsidRDefault="00AE0B07">
      <w:pPr>
        <w:widowControl w:val="0"/>
        <w:suppressAutoHyphens/>
        <w:jc w:val="center"/>
        <w:rPr>
          <w:rFonts w:eastAsia="SimSun" w:cs="Mangal"/>
          <w:b/>
          <w:color w:val="000000"/>
          <w:kern w:val="2"/>
          <w:szCs w:val="24"/>
          <w:lang w:eastAsia="hi-IN" w:bidi="hi-IN"/>
        </w:rPr>
      </w:pPr>
      <w:r>
        <w:rPr>
          <w:rFonts w:eastAsia="SimSun" w:cs="Mangal"/>
          <w:b/>
          <w:color w:val="000000"/>
          <w:kern w:val="2"/>
          <w:szCs w:val="24"/>
          <w:lang w:eastAsia="hi-IN" w:bidi="hi-IN"/>
        </w:rPr>
        <w:t>SKOLŲ IŠIEŠKOJIMO, PRIPAŽINIMO BEVILTIŠKOMIS, JŲ APSKAITOS IR NURAŠYMO TVARKOS APRAŠAS</w:t>
      </w:r>
    </w:p>
    <w:p w14:paraId="7018D599" w14:textId="77777777" w:rsidR="007B4CDA" w:rsidRDefault="007B4CDA">
      <w:pPr>
        <w:widowControl w:val="0"/>
        <w:suppressAutoHyphens/>
        <w:rPr>
          <w:rFonts w:eastAsia="SimSun" w:cs="Mangal"/>
          <w:color w:val="000000"/>
          <w:kern w:val="2"/>
          <w:szCs w:val="24"/>
          <w:lang w:eastAsia="hi-IN" w:bidi="hi-IN"/>
        </w:rPr>
      </w:pPr>
    </w:p>
    <w:p w14:paraId="03C74426" w14:textId="77777777" w:rsidR="007B4CDA" w:rsidRDefault="00AE0B07">
      <w:pPr>
        <w:widowControl w:val="0"/>
        <w:tabs>
          <w:tab w:val="left" w:pos="240"/>
        </w:tabs>
        <w:suppressAutoHyphens/>
        <w:jc w:val="center"/>
        <w:rPr>
          <w:rFonts w:eastAsia="SimSun" w:cs="Mangal"/>
          <w:b/>
          <w:color w:val="000000"/>
          <w:kern w:val="2"/>
          <w:szCs w:val="24"/>
          <w:lang w:eastAsia="hi-IN" w:bidi="hi-IN"/>
        </w:rPr>
      </w:pPr>
      <w:r>
        <w:rPr>
          <w:rFonts w:eastAsia="SimSun" w:cs="Mangal"/>
          <w:b/>
          <w:color w:val="000000"/>
          <w:kern w:val="2"/>
          <w:szCs w:val="24"/>
          <w:lang w:eastAsia="hi-IN" w:bidi="hi-IN"/>
        </w:rPr>
        <w:t>I SKYRIUS</w:t>
      </w:r>
    </w:p>
    <w:p w14:paraId="0E8E1922" w14:textId="77777777" w:rsidR="007B4CDA" w:rsidRDefault="00AE0B07">
      <w:pPr>
        <w:widowControl w:val="0"/>
        <w:tabs>
          <w:tab w:val="left" w:pos="240"/>
        </w:tabs>
        <w:suppressAutoHyphens/>
        <w:jc w:val="center"/>
        <w:rPr>
          <w:rFonts w:eastAsia="SimSun" w:cs="Mangal"/>
          <w:b/>
          <w:color w:val="000000"/>
          <w:kern w:val="2"/>
          <w:szCs w:val="24"/>
          <w:lang w:eastAsia="hi-IN" w:bidi="hi-IN"/>
        </w:rPr>
      </w:pPr>
      <w:r>
        <w:rPr>
          <w:rFonts w:eastAsia="SimSun" w:cs="Mangal"/>
          <w:b/>
          <w:color w:val="000000"/>
          <w:kern w:val="2"/>
          <w:szCs w:val="24"/>
          <w:lang w:eastAsia="hi-IN" w:bidi="hi-IN"/>
        </w:rPr>
        <w:t>BENDROSIOS NUOSTATOS</w:t>
      </w:r>
    </w:p>
    <w:p w14:paraId="7C66F115" w14:textId="77777777" w:rsidR="007B4CDA" w:rsidRDefault="007B4CDA">
      <w:pPr>
        <w:widowControl w:val="0"/>
        <w:suppressAutoHyphens/>
        <w:ind w:right="567" w:firstLine="851"/>
        <w:jc w:val="both"/>
        <w:rPr>
          <w:rFonts w:eastAsia="SimSun" w:cs="Tahoma"/>
          <w:b/>
          <w:color w:val="000000"/>
          <w:kern w:val="2"/>
          <w:szCs w:val="24"/>
          <w:lang w:eastAsia="hi-IN" w:bidi="hi-IN"/>
        </w:rPr>
      </w:pPr>
    </w:p>
    <w:p w14:paraId="143BBAA0" w14:textId="77777777" w:rsidR="007B4CDA" w:rsidRDefault="00AE0B07">
      <w:pPr>
        <w:widowControl w:val="0"/>
        <w:tabs>
          <w:tab w:val="left" w:pos="960"/>
          <w:tab w:val="left" w:pos="1134"/>
        </w:tabs>
        <w:suppressAutoHyphens/>
        <w:spacing w:line="360" w:lineRule="auto"/>
        <w:ind w:right="567" w:firstLine="851"/>
        <w:jc w:val="both"/>
        <w:rPr>
          <w:rFonts w:eastAsia="SimSun" w:cs="Tahoma"/>
          <w:color w:val="000000"/>
          <w:kern w:val="2"/>
          <w:szCs w:val="24"/>
          <w:lang w:eastAsia="hi-IN" w:bidi="hi-IN"/>
        </w:rPr>
      </w:pPr>
      <w:r>
        <w:rPr>
          <w:rFonts w:eastAsia="SimSun"/>
          <w:color w:val="000000"/>
          <w:kern w:val="2"/>
          <w:szCs w:val="21"/>
          <w:lang w:eastAsia="hi-IN" w:bidi="hi-IN"/>
        </w:rPr>
        <w:t>1.</w:t>
      </w:r>
      <w:r>
        <w:rPr>
          <w:rFonts w:eastAsia="SimSun"/>
          <w:color w:val="000000"/>
          <w:kern w:val="2"/>
          <w:szCs w:val="21"/>
          <w:lang w:eastAsia="hi-IN" w:bidi="hi-IN"/>
        </w:rPr>
        <w:tab/>
        <w:t>S</w:t>
      </w:r>
      <w:r>
        <w:rPr>
          <w:rFonts w:eastAsia="SimSun" w:cs="Tahoma"/>
          <w:color w:val="000000"/>
          <w:kern w:val="2"/>
          <w:szCs w:val="24"/>
          <w:lang w:eastAsia="hi-IN" w:bidi="hi-IN"/>
        </w:rPr>
        <w:t>kolų išieškojimo, pripažinimo beviltiškomis, jų apskaitos ir nurašymo tvarkos aprašas (toliau – Aprašas) reglamentuoja skolų pripažinimo beviltiškomis procedūras, pastangas susigrąžinti skolas, skolų apskaitą ir nurašymą.</w:t>
      </w:r>
    </w:p>
    <w:p w14:paraId="527359AD" w14:textId="77777777" w:rsidR="007B4CDA" w:rsidRDefault="00AE0B07">
      <w:pPr>
        <w:widowControl w:val="0"/>
        <w:tabs>
          <w:tab w:val="left" w:pos="960"/>
          <w:tab w:val="left" w:pos="1134"/>
        </w:tabs>
        <w:suppressAutoHyphens/>
        <w:spacing w:line="360" w:lineRule="auto"/>
        <w:ind w:right="567" w:firstLine="851"/>
        <w:jc w:val="both"/>
        <w:rPr>
          <w:rFonts w:eastAsia="SimSun" w:cs="Tahoma"/>
          <w:color w:val="000000"/>
          <w:kern w:val="2"/>
          <w:szCs w:val="24"/>
          <w:lang w:eastAsia="hi-IN" w:bidi="hi-IN"/>
        </w:rPr>
      </w:pPr>
      <w:r>
        <w:rPr>
          <w:rFonts w:eastAsia="SimSun"/>
          <w:color w:val="000000"/>
          <w:kern w:val="2"/>
          <w:szCs w:val="24"/>
          <w:lang w:eastAsia="hi-IN" w:bidi="hi-IN"/>
        </w:rPr>
        <w:t>2.</w:t>
      </w:r>
      <w:r>
        <w:rPr>
          <w:rFonts w:eastAsia="SimSun"/>
          <w:color w:val="000000"/>
          <w:kern w:val="2"/>
          <w:szCs w:val="24"/>
          <w:lang w:eastAsia="hi-IN" w:bidi="hi-IN"/>
        </w:rPr>
        <w:tab/>
      </w:r>
      <w:r>
        <w:rPr>
          <w:rFonts w:eastAsia="SimSun" w:cs="Tahoma"/>
          <w:color w:val="000000"/>
          <w:kern w:val="2"/>
          <w:szCs w:val="24"/>
          <w:lang w:eastAsia="hi-IN" w:bidi="hi-IN"/>
        </w:rPr>
        <w:t>Šio Aprašo nuostatos taikomos pripažįstant beviltiškomis, apskaitant ir nurašant fizinių ir juridinių asmenų (toliau – Skolininkai) skolas Kauno rajono savivaldybės administracijai.</w:t>
      </w:r>
    </w:p>
    <w:p w14:paraId="2E441B9D" w14:textId="77777777" w:rsidR="007B4CDA" w:rsidRDefault="00AE0B07">
      <w:pPr>
        <w:widowControl w:val="0"/>
        <w:tabs>
          <w:tab w:val="left" w:pos="960"/>
          <w:tab w:val="left" w:pos="1134"/>
        </w:tabs>
        <w:suppressAutoHyphens/>
        <w:spacing w:line="360" w:lineRule="auto"/>
        <w:ind w:right="567" w:firstLine="851"/>
        <w:jc w:val="both"/>
        <w:rPr>
          <w:rFonts w:eastAsia="SimSun" w:cs="Tahoma"/>
          <w:color w:val="000000"/>
          <w:kern w:val="2"/>
          <w:szCs w:val="24"/>
          <w:lang w:eastAsia="hi-IN" w:bidi="hi-IN"/>
        </w:rPr>
      </w:pPr>
      <w:r>
        <w:rPr>
          <w:rFonts w:eastAsia="SimSun"/>
          <w:color w:val="000000"/>
          <w:kern w:val="2"/>
          <w:szCs w:val="24"/>
          <w:lang w:eastAsia="hi-IN" w:bidi="hi-IN"/>
        </w:rPr>
        <w:t>3.</w:t>
      </w:r>
      <w:r>
        <w:rPr>
          <w:rFonts w:eastAsia="SimSun"/>
          <w:color w:val="000000"/>
          <w:kern w:val="2"/>
          <w:szCs w:val="24"/>
          <w:lang w:eastAsia="hi-IN" w:bidi="hi-IN"/>
        </w:rPr>
        <w:tab/>
      </w:r>
      <w:r>
        <w:rPr>
          <w:rFonts w:eastAsia="SimSun" w:cs="Tahoma"/>
          <w:color w:val="000000"/>
          <w:kern w:val="2"/>
          <w:szCs w:val="24"/>
          <w:lang w:eastAsia="hi-IN" w:bidi="hi-IN"/>
        </w:rPr>
        <w:t xml:space="preserve">Beviltiškos skolos – Kauno rajono savivaldybės administracijos apskaitos </w:t>
      </w:r>
      <w:r>
        <w:rPr>
          <w:rFonts w:eastAsia="SimSun" w:cs="Tahoma"/>
          <w:color w:val="000000"/>
          <w:spacing w:val="-6"/>
          <w:kern w:val="2"/>
          <w:szCs w:val="24"/>
          <w:lang w:eastAsia="hi-IN" w:bidi="hi-IN"/>
        </w:rPr>
        <w:t>dokumentuose registruotos gautinos sumos, atitinkančios skolų pripažinimo beviltiškomis kriterijus.</w:t>
      </w:r>
    </w:p>
    <w:p w14:paraId="05E420BE" w14:textId="77777777" w:rsidR="007B4CDA" w:rsidRDefault="00AE0B07">
      <w:pPr>
        <w:spacing w:line="360" w:lineRule="auto"/>
        <w:ind w:right="567" w:firstLine="851"/>
        <w:jc w:val="both"/>
        <w:rPr>
          <w:bCs/>
          <w:color w:val="000000"/>
          <w:szCs w:val="24"/>
          <w:lang w:eastAsia="lt-LT"/>
        </w:rPr>
      </w:pPr>
      <w:r>
        <w:rPr>
          <w:rFonts w:eastAsia="SimSun" w:cs="Mangal"/>
          <w:color w:val="000000"/>
          <w:kern w:val="2"/>
          <w:szCs w:val="24"/>
          <w:lang w:eastAsia="hi-IN" w:bidi="hi-IN"/>
        </w:rPr>
        <w:t>4. Aprašas parengtas vadovaujantis Lietuvos Respublikos civiliniu kodeksu, Lietuvos Respublikos finansų ministro 2002 m. vasario 11 d. įsakymu Nr. 40 „</w:t>
      </w:r>
      <w:r>
        <w:rPr>
          <w:bCs/>
          <w:color w:val="000000"/>
          <w:szCs w:val="24"/>
          <w:lang w:eastAsia="lt-LT"/>
        </w:rPr>
        <w:t xml:space="preserve">Dėl skolų beviltiškumo bei pastangų susigrąžinti šias skolas įrodymo ir beviltiškų skolų sumų apskaičiavimo taisyklių patvirtinimo“, Inventorizacijos taisyklėmis, patvirtintomis Lietuvos Respublikos Vyriausybės 2022 m. birželio 15 d. nutarimu Nr. 630 „Dėl Inventorizacijos taisyklių patvirtinimo“, Viešojo sektoriaus subjektų finansinių atskaitų rinkinių konsolidavimo tvarkos aprašu, patvirtintu Lietuvos Respublikos finansų ministro </w:t>
      </w:r>
      <w:r>
        <w:rPr>
          <w:bCs/>
          <w:color w:val="000000"/>
          <w:szCs w:val="24"/>
          <w:lang w:eastAsia="lt-LT"/>
        </w:rPr>
        <w:br/>
        <w:t>2011 m. balandžio 19 d. įsakymu Nr. 1K-152 „Dėl Viešojo sektoriaus subjektų finansinių ataskaitų rinkinio konsolidavimo“, 17-uoju viešojo sektoriaus apskaitos ir finansinės atskaitomybės standartu „Finansinis turtas ir finansiniai įsipareigojimai“, patvirtintu Lietuvos Respublikos finansų ministro 2008 m. birželio 27 d. įsakymu Nr. 1K-223 „Dėl Viešojo sektoriaus apskaitos ir finansinės atskaitomybės 17-ojo standarto patvirtinimo“.</w:t>
      </w:r>
    </w:p>
    <w:p w14:paraId="1BC8D02C" w14:textId="77777777" w:rsidR="007B4CDA" w:rsidRDefault="007B4CDA">
      <w:pPr>
        <w:ind w:right="567" w:firstLine="851"/>
        <w:jc w:val="both"/>
        <w:rPr>
          <w:b/>
          <w:color w:val="000000"/>
          <w:sz w:val="28"/>
          <w:szCs w:val="28"/>
        </w:rPr>
      </w:pPr>
    </w:p>
    <w:p w14:paraId="01E6F5D7" w14:textId="77777777" w:rsidR="007B4CDA" w:rsidRDefault="00AE0B07">
      <w:pPr>
        <w:ind w:right="567" w:firstLine="851"/>
        <w:jc w:val="center"/>
        <w:rPr>
          <w:b/>
          <w:color w:val="000000"/>
          <w:szCs w:val="24"/>
        </w:rPr>
      </w:pPr>
      <w:r>
        <w:rPr>
          <w:b/>
          <w:color w:val="000000"/>
          <w:szCs w:val="24"/>
        </w:rPr>
        <w:t>II SKYRIUS</w:t>
      </w:r>
    </w:p>
    <w:p w14:paraId="1471E205" w14:textId="77777777" w:rsidR="007B4CDA" w:rsidRDefault="00AE0B07">
      <w:pPr>
        <w:jc w:val="center"/>
        <w:rPr>
          <w:b/>
          <w:color w:val="000000"/>
          <w:szCs w:val="24"/>
        </w:rPr>
      </w:pPr>
      <w:r>
        <w:rPr>
          <w:b/>
          <w:color w:val="000000"/>
          <w:szCs w:val="24"/>
        </w:rPr>
        <w:t>SKOLŲ PRIPAŽINIMAS BEVILTIŠKOMIS</w:t>
      </w:r>
    </w:p>
    <w:p w14:paraId="6FF89409" w14:textId="77777777" w:rsidR="007B4CDA" w:rsidRDefault="007B4CDA">
      <w:pPr>
        <w:ind w:right="425" w:firstLine="851"/>
        <w:jc w:val="center"/>
        <w:rPr>
          <w:b/>
          <w:color w:val="000000"/>
          <w:sz w:val="28"/>
          <w:szCs w:val="28"/>
        </w:rPr>
      </w:pPr>
    </w:p>
    <w:p w14:paraId="2E541348" w14:textId="77777777" w:rsidR="007B4CDA" w:rsidRDefault="00AE0B07">
      <w:pPr>
        <w:spacing w:line="360" w:lineRule="auto"/>
        <w:ind w:right="424" w:firstLine="851"/>
        <w:jc w:val="both"/>
        <w:rPr>
          <w:color w:val="000000"/>
          <w:szCs w:val="24"/>
        </w:rPr>
      </w:pPr>
      <w:r>
        <w:rPr>
          <w:color w:val="000000"/>
          <w:szCs w:val="24"/>
        </w:rPr>
        <w:t xml:space="preserve">5. Beviltiška skola gali būti pripažinta ta Skolininko skola (įskaitant delspinigius, baudas ir pan.) </w:t>
      </w:r>
      <w:r>
        <w:rPr>
          <w:szCs w:val="24"/>
        </w:rPr>
        <w:t xml:space="preserve">(toliau – skola), </w:t>
      </w:r>
      <w:r>
        <w:rPr>
          <w:color w:val="000000"/>
          <w:szCs w:val="24"/>
        </w:rPr>
        <w:t>kurių neįmanoma ar netikslinga išieškoti dėl šių priežasčių:</w:t>
      </w:r>
    </w:p>
    <w:p w14:paraId="6A748E4A" w14:textId="77777777" w:rsidR="007B4CDA" w:rsidRDefault="00AE0B07">
      <w:pPr>
        <w:spacing w:line="360" w:lineRule="auto"/>
        <w:ind w:right="424" w:firstLine="851"/>
        <w:jc w:val="both"/>
        <w:rPr>
          <w:szCs w:val="24"/>
        </w:rPr>
      </w:pPr>
      <w:r>
        <w:rPr>
          <w:color w:val="000000"/>
          <w:szCs w:val="24"/>
        </w:rPr>
        <w:t xml:space="preserve">5.1. </w:t>
      </w:r>
      <w:r>
        <w:rPr>
          <w:szCs w:val="24"/>
        </w:rPr>
        <w:t xml:space="preserve">kai skolos suma neviršija arba lygi 100,00 Eur, o Skolininkas nebesinaudoja turto nuomos, panaudos ar kitomis teikiamomis Kauno rajono savivaldybės administracijos </w:t>
      </w:r>
      <w:r>
        <w:rPr>
          <w:szCs w:val="24"/>
        </w:rPr>
        <w:lastRenderedPageBreak/>
        <w:t>mokamomis paslaugomis, jeigu ilgiau nei 1 metus nuo skolos atsiradimo dienos Savivaldybės administracija ragino skolininką susimokėti skolą;</w:t>
      </w:r>
    </w:p>
    <w:p w14:paraId="1483A49F" w14:textId="77777777" w:rsidR="007B4CDA" w:rsidRDefault="00AE0B07">
      <w:pPr>
        <w:spacing w:line="360" w:lineRule="auto"/>
        <w:ind w:right="424" w:firstLine="851"/>
        <w:jc w:val="both"/>
        <w:rPr>
          <w:color w:val="000000"/>
          <w:szCs w:val="24"/>
        </w:rPr>
      </w:pPr>
      <w:r>
        <w:rPr>
          <w:color w:val="000000"/>
          <w:szCs w:val="24"/>
        </w:rPr>
        <w:t>5.2. Skolininkas yra miręs ar paskelbtas mirusiu ir nėra įpėdinių, galinčių prisiimti skolinius įsipareigojimus;</w:t>
      </w:r>
    </w:p>
    <w:p w14:paraId="194F2548" w14:textId="77777777" w:rsidR="007B4CDA" w:rsidRDefault="00AE0B07">
      <w:pPr>
        <w:spacing w:line="360" w:lineRule="auto"/>
        <w:ind w:right="424" w:firstLine="851"/>
        <w:jc w:val="both"/>
        <w:rPr>
          <w:color w:val="000000"/>
          <w:spacing w:val="-10"/>
          <w:szCs w:val="24"/>
        </w:rPr>
      </w:pPr>
      <w:r>
        <w:rPr>
          <w:color w:val="000000"/>
          <w:spacing w:val="-10"/>
          <w:szCs w:val="24"/>
        </w:rPr>
        <w:t>5.3. Skolininkas (juridinis ar fizinis asmuo) teismo sprendimu yra pripažintas bankrutavusiu;</w:t>
      </w:r>
    </w:p>
    <w:p w14:paraId="0C55F381" w14:textId="77777777" w:rsidR="007B4CDA" w:rsidRDefault="00AE0B07">
      <w:pPr>
        <w:spacing w:line="360" w:lineRule="auto"/>
        <w:ind w:right="424" w:firstLine="851"/>
        <w:jc w:val="both"/>
        <w:rPr>
          <w:color w:val="000000"/>
          <w:szCs w:val="24"/>
        </w:rPr>
      </w:pPr>
      <w:r>
        <w:rPr>
          <w:color w:val="000000"/>
          <w:szCs w:val="24"/>
        </w:rPr>
        <w:t xml:space="preserve">5.4. vykdomoji byla dėl skolos išieškojimo Civilinio proceso kodekse nustatytais pagrindais yra nutraukta. </w:t>
      </w:r>
    </w:p>
    <w:p w14:paraId="586B661E" w14:textId="77777777" w:rsidR="007B4CDA" w:rsidRDefault="00AE0B07">
      <w:pPr>
        <w:spacing w:line="360" w:lineRule="auto"/>
        <w:ind w:right="424" w:firstLine="851"/>
        <w:jc w:val="both"/>
        <w:rPr>
          <w:color w:val="000000"/>
          <w:szCs w:val="24"/>
        </w:rPr>
      </w:pPr>
      <w:r>
        <w:rPr>
          <w:color w:val="000000"/>
          <w:szCs w:val="24"/>
        </w:rPr>
        <w:t>6. Skolų beviltiškumą ir pastangas susigrąžinti tokias skolas įrodo šie dokumentai:</w:t>
      </w:r>
    </w:p>
    <w:p w14:paraId="2B3966F7" w14:textId="77777777" w:rsidR="007B4CDA" w:rsidRDefault="00AE0B07">
      <w:pPr>
        <w:spacing w:line="360" w:lineRule="auto"/>
        <w:ind w:right="424" w:firstLine="851"/>
        <w:jc w:val="both"/>
        <w:rPr>
          <w:color w:val="000000"/>
          <w:szCs w:val="24"/>
        </w:rPr>
      </w:pPr>
      <w:r>
        <w:rPr>
          <w:color w:val="000000"/>
          <w:szCs w:val="24"/>
        </w:rPr>
        <w:t>6.1. Aprašo 5.1 papunktyje nurodytu atveju Kauno rajono savivaldybės administracijos vidiniai dokumentai (skolų išklotinės / pažymos, informaciniai pranešimai ir kt.) bei išoriniai dokumentai (susirašinėjimas su Skolininku, įrodymai – laiškai, pranešimai, įstaigų pateikta rašytinė informacija, susijusi su Skolininko finansinės būklės įvertinimu ir kt.);</w:t>
      </w:r>
    </w:p>
    <w:p w14:paraId="542FD1F1" w14:textId="77777777" w:rsidR="007B4CDA" w:rsidRDefault="00AE0B07">
      <w:pPr>
        <w:spacing w:line="360" w:lineRule="auto"/>
        <w:ind w:right="424" w:firstLine="851"/>
        <w:jc w:val="both"/>
        <w:rPr>
          <w:color w:val="000000"/>
          <w:szCs w:val="24"/>
        </w:rPr>
      </w:pPr>
      <w:r>
        <w:rPr>
          <w:color w:val="000000"/>
          <w:szCs w:val="24"/>
        </w:rPr>
        <w:t>6.2. Aprašo 5.2 papunktyje nurodytu atveju – dokumentai, patvirtinantys Skolininko mirties faktą, taip pat notaro atsakymas į paklausimą dėl paveldėtojų, nurodant, kad jų nėra ar antstolio patvarkymas dėl vykdomosios bylos nutraukimo, vykdomojo dokumento grąžinimo ir vykdomosios bylos užbaigimo skolininkui mirus;</w:t>
      </w:r>
    </w:p>
    <w:p w14:paraId="4995FDF1" w14:textId="77777777" w:rsidR="007B4CDA" w:rsidRDefault="00AE0B07">
      <w:pPr>
        <w:spacing w:line="360" w:lineRule="auto"/>
        <w:ind w:right="424" w:firstLine="851"/>
        <w:jc w:val="both"/>
        <w:rPr>
          <w:color w:val="000000"/>
          <w:szCs w:val="24"/>
        </w:rPr>
      </w:pPr>
      <w:r>
        <w:rPr>
          <w:color w:val="000000"/>
          <w:szCs w:val="24"/>
        </w:rPr>
        <w:t xml:space="preserve">6.3. Aprašo 5.3 papunktyje nurodytu atveju – įsiteisėjęs teismo sprendimas/ </w:t>
      </w:r>
      <w:r>
        <w:rPr>
          <w:color w:val="000000"/>
          <w:szCs w:val="24"/>
        </w:rPr>
        <w:br/>
        <w:t>VĮ Registrų centro duomenys;</w:t>
      </w:r>
    </w:p>
    <w:p w14:paraId="1A3BD5E7" w14:textId="77777777" w:rsidR="007B4CDA" w:rsidRDefault="00AE0B07">
      <w:pPr>
        <w:spacing w:line="360" w:lineRule="auto"/>
        <w:ind w:right="424" w:firstLine="851"/>
        <w:jc w:val="both"/>
        <w:rPr>
          <w:color w:val="000000"/>
          <w:szCs w:val="24"/>
        </w:rPr>
      </w:pPr>
      <w:r>
        <w:rPr>
          <w:color w:val="000000"/>
          <w:szCs w:val="24"/>
        </w:rPr>
        <w:t>6.4. Aprašo 5.4 papunktyje nurodytu atveju – įsiteisėjęs Lietuvos Respublikos teismo (arba ginčą nagrinėjusios institucijos) sprendimas arba nutartis (toliau – Sprendimas), vykdomasis dokumentas bei antstolio surašytas aktas, pagal kurį išieškojimas nebuvo įvykdytas dėl vykdomojo dokumento grąžinimo dėl skolos išieškojimo negalimumo.</w:t>
      </w:r>
    </w:p>
    <w:p w14:paraId="0489C01C" w14:textId="77777777" w:rsidR="007B4CDA" w:rsidRDefault="00AE0B07">
      <w:pPr>
        <w:spacing w:line="360" w:lineRule="auto"/>
        <w:ind w:right="424" w:firstLine="851"/>
        <w:jc w:val="both"/>
        <w:rPr>
          <w:color w:val="000000"/>
          <w:szCs w:val="24"/>
        </w:rPr>
      </w:pPr>
      <w:r>
        <w:rPr>
          <w:color w:val="000000"/>
          <w:szCs w:val="24"/>
        </w:rPr>
        <w:t xml:space="preserve">7. Tais atvejais, kai dokumentas, kurio pagrindu skolos yra laikomos beviltiškomis, yra surašytas užsienio kalba, Kauno rajono savivaldybės administracija turi turėti tokio dokumento vertimą į lietuvių kalbą. </w:t>
      </w:r>
    </w:p>
    <w:p w14:paraId="339BA6B3" w14:textId="77777777" w:rsidR="007B4CDA" w:rsidRDefault="007B4CDA">
      <w:pPr>
        <w:widowControl w:val="0"/>
        <w:suppressAutoHyphens/>
        <w:ind w:right="425" w:firstLine="851"/>
        <w:jc w:val="both"/>
        <w:rPr>
          <w:rFonts w:eastAsia="SimSun" w:cs="Tahoma"/>
          <w:color w:val="000000"/>
          <w:kern w:val="2"/>
          <w:szCs w:val="24"/>
          <w:lang w:eastAsia="hi-IN" w:bidi="hi-IN"/>
        </w:rPr>
      </w:pPr>
    </w:p>
    <w:p w14:paraId="7556E12A" w14:textId="77777777" w:rsidR="007B4CDA" w:rsidRDefault="00AE0B07">
      <w:pPr>
        <w:widowControl w:val="0"/>
        <w:suppressAutoHyphens/>
        <w:jc w:val="center"/>
        <w:rPr>
          <w:rFonts w:eastAsia="SimSun" w:cs="Tahoma"/>
          <w:b/>
          <w:bCs/>
          <w:color w:val="000000"/>
          <w:kern w:val="2"/>
          <w:szCs w:val="24"/>
          <w:lang w:eastAsia="lt-LT" w:bidi="hi-IN"/>
        </w:rPr>
      </w:pPr>
      <w:r>
        <w:rPr>
          <w:rFonts w:eastAsia="SimSun" w:cs="Tahoma"/>
          <w:b/>
          <w:bCs/>
          <w:color w:val="000000"/>
          <w:kern w:val="2"/>
          <w:szCs w:val="24"/>
          <w:lang w:eastAsia="lt-LT" w:bidi="hi-IN"/>
        </w:rPr>
        <w:t>III SKYRIUS</w:t>
      </w:r>
    </w:p>
    <w:p w14:paraId="2108F4AE" w14:textId="77777777" w:rsidR="007B4CDA" w:rsidRDefault="00AE0B07">
      <w:pPr>
        <w:widowControl w:val="0"/>
        <w:suppressAutoHyphens/>
        <w:jc w:val="center"/>
        <w:rPr>
          <w:rFonts w:eastAsia="SimSun" w:cs="Tahoma"/>
          <w:b/>
          <w:bCs/>
          <w:color w:val="000000"/>
          <w:kern w:val="2"/>
          <w:szCs w:val="24"/>
          <w:lang w:eastAsia="lt-LT" w:bidi="hi-IN"/>
        </w:rPr>
      </w:pPr>
      <w:r>
        <w:rPr>
          <w:rFonts w:eastAsia="SimSun" w:cs="Tahoma"/>
          <w:b/>
          <w:bCs/>
          <w:color w:val="000000"/>
          <w:kern w:val="2"/>
          <w:szCs w:val="24"/>
          <w:lang w:eastAsia="lt-LT" w:bidi="hi-IN"/>
        </w:rPr>
        <w:t>SKOLŲ, PRIPAŽINTŲ BEVILTIŠKOMIS, APSKAITA IR NURAŠYMAS</w:t>
      </w:r>
    </w:p>
    <w:p w14:paraId="6F9F8AC1" w14:textId="77777777" w:rsidR="007B4CDA" w:rsidRDefault="007B4CDA">
      <w:pPr>
        <w:widowControl w:val="0"/>
        <w:suppressAutoHyphens/>
        <w:ind w:right="567" w:firstLine="851"/>
        <w:jc w:val="both"/>
        <w:rPr>
          <w:rFonts w:eastAsia="SimSun" w:cs="Tahoma"/>
          <w:bCs/>
          <w:color w:val="000000"/>
          <w:kern w:val="2"/>
          <w:szCs w:val="24"/>
          <w:lang w:eastAsia="lt-LT" w:bidi="hi-IN"/>
        </w:rPr>
      </w:pPr>
    </w:p>
    <w:p w14:paraId="569AFC42" w14:textId="77777777" w:rsidR="007B4CDA" w:rsidRDefault="00AE0B07">
      <w:pPr>
        <w:widowControl w:val="0"/>
        <w:suppressAutoHyphens/>
        <w:spacing w:line="360" w:lineRule="auto"/>
        <w:ind w:right="567" w:firstLine="851"/>
        <w:jc w:val="both"/>
        <w:rPr>
          <w:rFonts w:eastAsia="SimSun" w:cs="Tahoma"/>
          <w:color w:val="000000"/>
          <w:kern w:val="2"/>
          <w:sz w:val="28"/>
          <w:szCs w:val="28"/>
          <w:lang w:eastAsia="hi-IN" w:bidi="hi-IN"/>
        </w:rPr>
      </w:pPr>
      <w:r>
        <w:rPr>
          <w:rFonts w:eastAsia="SimSun" w:cs="Tahoma"/>
          <w:bCs/>
          <w:color w:val="000000"/>
          <w:kern w:val="2"/>
          <w:szCs w:val="24"/>
          <w:lang w:eastAsia="lt-LT" w:bidi="hi-IN"/>
        </w:rPr>
        <w:t xml:space="preserve">8. Savivaldybės vykdomosios institucijos sprendimu sudaryta inventorizacijos komisija rengia nurašytinų beviltiškų skolų sąrašą, atsižvelgdama į išanalizuotus dokumentus, nurodytus Aprašo 6 punkte. Komisija sudaroma iš ne mažiau kaip 5 Savivaldybės administracijos darbuotojų. Komisijos sekretoriumi skiriamas Ekonomikos </w:t>
      </w:r>
      <w:r>
        <w:rPr>
          <w:rFonts w:eastAsia="SimSun" w:cs="Tahoma"/>
          <w:bCs/>
          <w:color w:val="000000"/>
          <w:kern w:val="2"/>
          <w:szCs w:val="24"/>
          <w:lang w:eastAsia="lt-LT" w:bidi="hi-IN"/>
        </w:rPr>
        <w:lastRenderedPageBreak/>
        <w:t xml:space="preserve">skyriaus darbuotojas. Komisijos sprendimai priimami balsų dauguma. Komisijos siūlymas dėl skolos pripažinimo beviltiška įforminamas Komisijos sprendimu bei pateikiamas Aprašo 10 ar 11 punkte nurodytoms institucijoms svarstyti. </w:t>
      </w:r>
    </w:p>
    <w:p w14:paraId="12CC4A6B" w14:textId="77777777" w:rsidR="007B4CDA" w:rsidRDefault="00AE0B07">
      <w:pPr>
        <w:tabs>
          <w:tab w:val="left" w:pos="709"/>
        </w:tabs>
        <w:spacing w:line="360" w:lineRule="auto"/>
        <w:ind w:right="567" w:firstLine="851"/>
        <w:jc w:val="both"/>
        <w:rPr>
          <w:color w:val="000000"/>
          <w:szCs w:val="24"/>
          <w:lang w:eastAsia="lt-LT"/>
        </w:rPr>
      </w:pPr>
      <w:r>
        <w:rPr>
          <w:color w:val="000000"/>
          <w:szCs w:val="24"/>
          <w:lang w:eastAsia="lt-LT"/>
        </w:rPr>
        <w:t xml:space="preserve">9. Dokumentai, kuriais remiantis skolos pripažįstamos beviltiškomis, turi būti </w:t>
      </w:r>
      <w:r>
        <w:rPr>
          <w:color w:val="000000"/>
          <w:spacing w:val="-6"/>
          <w:szCs w:val="24"/>
          <w:lang w:eastAsia="lt-LT"/>
        </w:rPr>
        <w:t>saugomi tokį pat laikotarpį ir tokia pat tvarka, kaip saugomi apskaitos dokumentai pagal teisės aktus.</w:t>
      </w:r>
    </w:p>
    <w:p w14:paraId="424FA790" w14:textId="77777777" w:rsidR="007B4CDA" w:rsidRDefault="00AE0B07">
      <w:pPr>
        <w:spacing w:line="360" w:lineRule="auto"/>
        <w:ind w:right="567" w:firstLine="851"/>
        <w:jc w:val="both"/>
        <w:rPr>
          <w:color w:val="000000"/>
          <w:szCs w:val="24"/>
          <w:lang w:eastAsia="lt-LT"/>
        </w:rPr>
      </w:pPr>
      <w:r>
        <w:rPr>
          <w:color w:val="000000"/>
          <w:szCs w:val="24"/>
          <w:lang w:eastAsia="lt-LT"/>
        </w:rPr>
        <w:t>10. Aprašo 5 punkte nustatytais atvejais Savivaldybės vykdomosios institucijos sprendimu Skolininko skolos pripažįstamos beviltiškomis ir nurašomos.</w:t>
      </w:r>
    </w:p>
    <w:p w14:paraId="04DC1E1A" w14:textId="77777777" w:rsidR="007B4CDA" w:rsidRDefault="00AE0B07">
      <w:pPr>
        <w:spacing w:line="360" w:lineRule="auto"/>
        <w:ind w:right="567" w:firstLine="851"/>
        <w:jc w:val="both"/>
        <w:rPr>
          <w:color w:val="000000"/>
          <w:szCs w:val="24"/>
          <w:lang w:eastAsia="lt-LT"/>
        </w:rPr>
      </w:pPr>
      <w:r>
        <w:rPr>
          <w:color w:val="000000"/>
          <w:szCs w:val="24"/>
          <w:lang w:eastAsia="lt-LT"/>
        </w:rPr>
        <w:t xml:space="preserve">11. Skolininko mokėtojo skolas pripažinus beviltiškomis, jos nurašomos ir Kauno rajono savivaldybės administracijos apskaitą tvarkantys darbuotojai nuo nurašymo momento skolas apskaito nebalansinėje sąskaitoje.  </w:t>
      </w:r>
    </w:p>
    <w:p w14:paraId="0B7B764F" w14:textId="77777777" w:rsidR="007B4CDA" w:rsidRDefault="00AE0B07">
      <w:pPr>
        <w:spacing w:line="360" w:lineRule="auto"/>
        <w:ind w:right="567" w:firstLine="851"/>
        <w:jc w:val="both"/>
        <w:rPr>
          <w:szCs w:val="24"/>
        </w:rPr>
      </w:pPr>
      <w:r>
        <w:rPr>
          <w:szCs w:val="24"/>
        </w:rPr>
        <w:t xml:space="preserve">12. Nurašytų beviltiškų skolų apskaita kontrolės tikslais tvarkoma nebalansinėje sąskaitoje dešimt metų nuo sprendimo jas pripažinti beviltiškomis ir nurašyti priėmimo dienos. Atgautos skolos pervedamos į Savivaldybės biudžetą. Neatgautos skolos nurašomos </w:t>
      </w:r>
      <w:r>
        <w:rPr>
          <w:spacing w:val="-8"/>
          <w:szCs w:val="24"/>
        </w:rPr>
        <w:t>iš apskaitos po dešimties metų nuo sprendimo jas pripažinti beviltiškomis ir nurašyti priėmimo dienos.</w:t>
      </w:r>
      <w:r>
        <w:rPr>
          <w:szCs w:val="24"/>
        </w:rPr>
        <w:t xml:space="preserve"> </w:t>
      </w:r>
    </w:p>
    <w:p w14:paraId="1A766448" w14:textId="77777777" w:rsidR="007B4CDA" w:rsidRDefault="007B4CDA">
      <w:pPr>
        <w:ind w:right="567" w:firstLine="851"/>
        <w:jc w:val="both"/>
        <w:rPr>
          <w:color w:val="000000"/>
          <w:szCs w:val="24"/>
          <w:lang w:eastAsia="lt-LT"/>
        </w:rPr>
      </w:pPr>
    </w:p>
    <w:p w14:paraId="4AF1DEBE" w14:textId="77777777" w:rsidR="007B4CDA" w:rsidRDefault="00AE0B07">
      <w:pPr>
        <w:jc w:val="center"/>
        <w:rPr>
          <w:b/>
          <w:bCs/>
          <w:color w:val="000000"/>
          <w:szCs w:val="24"/>
          <w:lang w:eastAsia="lt-LT"/>
        </w:rPr>
      </w:pPr>
      <w:r>
        <w:rPr>
          <w:b/>
          <w:bCs/>
          <w:color w:val="000000"/>
          <w:szCs w:val="24"/>
          <w:lang w:eastAsia="lt-LT"/>
        </w:rPr>
        <w:t>IV SKYRIUS</w:t>
      </w:r>
    </w:p>
    <w:p w14:paraId="3BFB0EE4" w14:textId="77777777" w:rsidR="007B4CDA" w:rsidRDefault="00AE0B07">
      <w:pPr>
        <w:jc w:val="center"/>
        <w:rPr>
          <w:b/>
          <w:bCs/>
          <w:color w:val="000000"/>
          <w:szCs w:val="24"/>
          <w:lang w:eastAsia="lt-LT"/>
        </w:rPr>
      </w:pPr>
      <w:r>
        <w:rPr>
          <w:b/>
          <w:bCs/>
          <w:color w:val="000000"/>
          <w:szCs w:val="24"/>
          <w:lang w:eastAsia="lt-LT"/>
        </w:rPr>
        <w:t>SKOLOS IŠIEŠKOJIMO TVARKA</w:t>
      </w:r>
    </w:p>
    <w:p w14:paraId="297721F0" w14:textId="77777777" w:rsidR="007B4CDA" w:rsidRDefault="007B4CDA">
      <w:pPr>
        <w:ind w:right="567" w:firstLine="851"/>
        <w:jc w:val="both"/>
        <w:rPr>
          <w:bCs/>
          <w:color w:val="000000"/>
          <w:szCs w:val="24"/>
          <w:lang w:eastAsia="lt-LT"/>
        </w:rPr>
      </w:pPr>
    </w:p>
    <w:p w14:paraId="5A5DB73F" w14:textId="77777777" w:rsidR="007B4CDA" w:rsidRDefault="00AE0B07">
      <w:pPr>
        <w:spacing w:line="360" w:lineRule="auto"/>
        <w:ind w:right="567" w:firstLine="851"/>
        <w:jc w:val="both"/>
        <w:rPr>
          <w:bCs/>
          <w:color w:val="000000"/>
          <w:szCs w:val="24"/>
          <w:lang w:eastAsia="lt-LT"/>
        </w:rPr>
      </w:pPr>
      <w:r>
        <w:rPr>
          <w:bCs/>
          <w:color w:val="000000"/>
          <w:szCs w:val="24"/>
          <w:lang w:eastAsia="lt-LT"/>
        </w:rPr>
        <w:t xml:space="preserve">13. Skolininkui, ilgiau nei </w:t>
      </w:r>
      <w:r>
        <w:rPr>
          <w:bCs/>
          <w:szCs w:val="24"/>
          <w:lang w:eastAsia="lt-LT"/>
        </w:rPr>
        <w:t xml:space="preserve">du mėnesius </w:t>
      </w:r>
      <w:r>
        <w:rPr>
          <w:bCs/>
          <w:color w:val="000000"/>
          <w:szCs w:val="24"/>
          <w:lang w:eastAsia="lt-LT"/>
        </w:rPr>
        <w:t xml:space="preserve">nesumokančiam už nuomą </w:t>
      </w:r>
      <w:r>
        <w:rPr>
          <w:szCs w:val="24"/>
        </w:rPr>
        <w:t>ir / ar teikiamas paslaugas,</w:t>
      </w:r>
      <w:r>
        <w:rPr>
          <w:bCs/>
          <w:color w:val="000000"/>
          <w:szCs w:val="24"/>
          <w:lang w:eastAsia="lt-LT"/>
        </w:rPr>
        <w:t xml:space="preserve"> apskaitą tvarkantys darbuotojai išsiunčia raginimą dėl skolos sumokėjimo. Kai susidaro 3 mėnesių skolos už Administracijos patikėjimo teise valdomą išnuomotą ar perduotą panaudos pagrindais turtą, Ekonomikos skyrius siunčia priminimą Skolininkui dėl skolos sumokėjimo. Jei Skolininkui, kuris naudojasi turto nuomos ar kitomis Kauno rajono savivaldybės administracijos teikiamomis paslaugomis, priminimas neįteikiamas paštu, Kauno rajono savivaldybės administracijos seniūnas pagal turto buvimo vietą vyksta į objektą ir surašo patikrinimo aktą bei įteikia raginimą.</w:t>
      </w:r>
    </w:p>
    <w:p w14:paraId="584BDB87" w14:textId="77777777" w:rsidR="007B4CDA" w:rsidRDefault="00AE0B07">
      <w:pPr>
        <w:spacing w:line="360" w:lineRule="auto"/>
        <w:ind w:right="567" w:firstLine="851"/>
        <w:jc w:val="both"/>
        <w:rPr>
          <w:bCs/>
          <w:color w:val="000000"/>
          <w:szCs w:val="24"/>
          <w:lang w:eastAsia="lt-LT"/>
        </w:rPr>
      </w:pPr>
      <w:r>
        <w:rPr>
          <w:bCs/>
          <w:color w:val="000000"/>
          <w:szCs w:val="24"/>
          <w:lang w:eastAsia="lt-LT"/>
        </w:rPr>
        <w:t>14. Skolininkui pateikus prašymą dėl skolos mokėjimo dalimis, gali būti sudaromas skolos mokėjimo grafikas, kurį tvirtina Savivaldybės vykdomoji institucija. Nevykdant įsipareigojimo ilgiau kaip tris mėnesius, inicijuojamas skolos išieškojimas.</w:t>
      </w:r>
    </w:p>
    <w:p w14:paraId="7131BC9B" w14:textId="77777777" w:rsidR="007B4CDA" w:rsidRDefault="00AE0B07">
      <w:pPr>
        <w:spacing w:line="360" w:lineRule="auto"/>
        <w:ind w:right="567" w:firstLine="851"/>
        <w:jc w:val="both"/>
        <w:rPr>
          <w:szCs w:val="24"/>
        </w:rPr>
      </w:pPr>
      <w:r>
        <w:rPr>
          <w:bCs/>
          <w:color w:val="000000"/>
          <w:szCs w:val="24"/>
          <w:lang w:eastAsia="lt-LT"/>
        </w:rPr>
        <w:t xml:space="preserve">15. </w:t>
      </w:r>
      <w:r>
        <w:rPr>
          <w:szCs w:val="24"/>
        </w:rPr>
        <w:t xml:space="preserve">Jeigu nuomininko įsiskolinimas viršija 6 mėnesių nuomos mokesčio sumą ir / ar teikiamas paslaugas ir nesilaikoma Aprašo 15 punkte nurodytų terminų, Ekonomikos skyrius </w:t>
      </w:r>
      <w:r>
        <w:rPr>
          <w:spacing w:val="-6"/>
          <w:szCs w:val="24"/>
        </w:rPr>
        <w:t>teikia Savivaldybės vykdomajai institucijai siūlymą inicijuoti teisminį procesą dėl skolų išieškojimo.</w:t>
      </w:r>
    </w:p>
    <w:p w14:paraId="1C1D7C19" w14:textId="77777777" w:rsidR="007B4CDA" w:rsidRDefault="007B4CDA">
      <w:pPr>
        <w:ind w:right="567" w:firstLine="851"/>
        <w:jc w:val="both"/>
        <w:rPr>
          <w:bCs/>
          <w:color w:val="000000"/>
          <w:szCs w:val="24"/>
          <w:lang w:eastAsia="lt-LT"/>
        </w:rPr>
      </w:pPr>
    </w:p>
    <w:p w14:paraId="322E933D" w14:textId="77777777" w:rsidR="007B4CDA" w:rsidRDefault="00AE0B07">
      <w:pPr>
        <w:jc w:val="center"/>
        <w:rPr>
          <w:b/>
          <w:bCs/>
          <w:color w:val="000000"/>
          <w:szCs w:val="24"/>
          <w:lang w:eastAsia="lt-LT"/>
        </w:rPr>
      </w:pPr>
      <w:r>
        <w:rPr>
          <w:b/>
          <w:bCs/>
          <w:color w:val="000000"/>
          <w:szCs w:val="24"/>
          <w:lang w:eastAsia="lt-LT"/>
        </w:rPr>
        <w:t>V SKYRIUS</w:t>
      </w:r>
    </w:p>
    <w:p w14:paraId="3FD361ED" w14:textId="77777777" w:rsidR="007B4CDA" w:rsidRDefault="00AE0B07">
      <w:pPr>
        <w:jc w:val="center"/>
        <w:rPr>
          <w:b/>
          <w:bCs/>
          <w:color w:val="000000"/>
          <w:szCs w:val="24"/>
          <w:lang w:eastAsia="lt-LT"/>
        </w:rPr>
      </w:pPr>
      <w:r>
        <w:rPr>
          <w:b/>
          <w:bCs/>
          <w:color w:val="000000"/>
          <w:szCs w:val="24"/>
          <w:lang w:eastAsia="lt-LT"/>
        </w:rPr>
        <w:lastRenderedPageBreak/>
        <w:t>BAIGIAMOSIOS NUOSTATOS</w:t>
      </w:r>
    </w:p>
    <w:p w14:paraId="2B60A7FA" w14:textId="77777777" w:rsidR="007B4CDA" w:rsidRDefault="007B4CDA">
      <w:pPr>
        <w:jc w:val="both"/>
        <w:rPr>
          <w:bCs/>
          <w:color w:val="000000"/>
          <w:szCs w:val="24"/>
          <w:lang w:eastAsia="lt-LT"/>
        </w:rPr>
      </w:pPr>
    </w:p>
    <w:p w14:paraId="3618E45C" w14:textId="77777777" w:rsidR="007B4CDA" w:rsidRDefault="00AE0B07">
      <w:pPr>
        <w:spacing w:line="360" w:lineRule="auto"/>
        <w:ind w:right="424" w:firstLine="851"/>
        <w:jc w:val="both"/>
        <w:rPr>
          <w:bCs/>
          <w:color w:val="000000"/>
          <w:szCs w:val="24"/>
          <w:lang w:eastAsia="lt-LT"/>
        </w:rPr>
      </w:pPr>
      <w:r>
        <w:rPr>
          <w:bCs/>
          <w:color w:val="000000"/>
          <w:szCs w:val="24"/>
          <w:lang w:eastAsia="lt-LT"/>
        </w:rPr>
        <w:t>16. Šio Aprašo nuostatos taikomos skoloms, kurios kildinamos iš:</w:t>
      </w:r>
    </w:p>
    <w:p w14:paraId="73FD5C49" w14:textId="77777777" w:rsidR="007B4CDA" w:rsidRDefault="00AE0B07">
      <w:pPr>
        <w:spacing w:line="360" w:lineRule="auto"/>
        <w:ind w:right="424" w:firstLine="851"/>
        <w:jc w:val="both"/>
        <w:rPr>
          <w:bCs/>
          <w:color w:val="000000"/>
          <w:szCs w:val="24"/>
          <w:lang w:eastAsia="lt-LT"/>
        </w:rPr>
      </w:pPr>
      <w:r>
        <w:rPr>
          <w:bCs/>
          <w:color w:val="000000"/>
          <w:szCs w:val="24"/>
          <w:lang w:eastAsia="lt-LT"/>
        </w:rPr>
        <w:t>16.1. Kauno rajono savivaldybės ir socialinių būstų nuomos teisinių santykių;</w:t>
      </w:r>
    </w:p>
    <w:p w14:paraId="59CA4591" w14:textId="77777777" w:rsidR="007B4CDA" w:rsidRDefault="00AE0B07">
      <w:pPr>
        <w:spacing w:line="360" w:lineRule="auto"/>
        <w:ind w:right="424" w:firstLine="851"/>
        <w:jc w:val="both"/>
        <w:rPr>
          <w:bCs/>
          <w:color w:val="000000"/>
          <w:szCs w:val="24"/>
          <w:lang w:eastAsia="lt-LT"/>
        </w:rPr>
      </w:pPr>
      <w:r>
        <w:rPr>
          <w:bCs/>
          <w:color w:val="000000"/>
          <w:szCs w:val="24"/>
          <w:lang w:eastAsia="lt-LT"/>
        </w:rPr>
        <w:t>16.2. Kauno rajono savivaldybės administracijos patikėjimo teise valdomų patalpų nuomos, panaudos teisinių santykių bei įsipareigojimų mokėti už komunalines paslaugas.</w:t>
      </w:r>
    </w:p>
    <w:p w14:paraId="3FDBBEFE" w14:textId="77777777" w:rsidR="007B4CDA" w:rsidRDefault="00AE0B07">
      <w:pPr>
        <w:spacing w:line="360" w:lineRule="auto"/>
        <w:ind w:right="424" w:firstLine="851"/>
        <w:jc w:val="both"/>
        <w:rPr>
          <w:bCs/>
          <w:color w:val="000000"/>
          <w:szCs w:val="24"/>
          <w:lang w:eastAsia="lt-LT"/>
        </w:rPr>
      </w:pPr>
      <w:r>
        <w:rPr>
          <w:bCs/>
          <w:color w:val="000000"/>
          <w:szCs w:val="24"/>
          <w:lang w:eastAsia="lt-LT"/>
        </w:rPr>
        <w:t>17. Šis Aprašas keičiamas ir papildomas Savivaldybės tarybos sprendimu.</w:t>
      </w:r>
    </w:p>
    <w:p w14:paraId="6C3ADEA7" w14:textId="77777777" w:rsidR="007B4CDA" w:rsidRDefault="00AE0B07">
      <w:pPr>
        <w:spacing w:line="360" w:lineRule="auto"/>
        <w:ind w:firstLine="851"/>
        <w:jc w:val="center"/>
        <w:rPr>
          <w:bCs/>
          <w:color w:val="000000"/>
          <w:sz w:val="28"/>
          <w:szCs w:val="28"/>
          <w:lang w:eastAsia="lt-LT"/>
        </w:rPr>
      </w:pPr>
      <w:r>
        <w:rPr>
          <w:color w:val="000000"/>
          <w:szCs w:val="24"/>
          <w:lang w:eastAsia="lt-LT"/>
        </w:rPr>
        <w:t>____________________</w:t>
      </w:r>
    </w:p>
    <w:p w14:paraId="0B68A6A7" w14:textId="77777777" w:rsidR="007B4CDA" w:rsidRDefault="007B4CDA">
      <w:pPr>
        <w:tabs>
          <w:tab w:val="right" w:pos="9072"/>
        </w:tabs>
        <w:jc w:val="both"/>
        <w:rPr>
          <w:szCs w:val="24"/>
          <w:lang w:eastAsia="lt-LT"/>
        </w:rPr>
      </w:pPr>
    </w:p>
    <w:sectPr w:rsidR="007B4CDA">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F52DB" w14:textId="77777777" w:rsidR="00F87B86" w:rsidRDefault="00F87B86">
      <w:pPr>
        <w:rPr>
          <w:rFonts w:ascii="TimesLT" w:hAnsi="TimesLT"/>
          <w:sz w:val="26"/>
          <w:lang w:eastAsia="lt-LT"/>
        </w:rPr>
      </w:pPr>
      <w:r>
        <w:rPr>
          <w:rFonts w:ascii="TimesLT" w:hAnsi="TimesLT"/>
          <w:sz w:val="26"/>
          <w:lang w:eastAsia="lt-LT"/>
        </w:rPr>
        <w:separator/>
      </w:r>
    </w:p>
  </w:endnote>
  <w:endnote w:type="continuationSeparator" w:id="0">
    <w:p w14:paraId="136C10C1" w14:textId="77777777" w:rsidR="00F87B86" w:rsidRDefault="00F87B86">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0D580" w14:textId="77777777" w:rsidR="007B4CDA" w:rsidRDefault="007B4CDA">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EDBA" w14:textId="77777777" w:rsidR="007B4CDA" w:rsidRDefault="007B4CDA">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42B55" w14:textId="77777777" w:rsidR="007B4CDA" w:rsidRDefault="007B4CDA">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27E7B" w14:textId="77777777" w:rsidR="00F87B86" w:rsidRDefault="00F87B86">
      <w:pPr>
        <w:rPr>
          <w:rFonts w:ascii="TimesLT" w:hAnsi="TimesLT"/>
          <w:sz w:val="26"/>
          <w:lang w:eastAsia="lt-LT"/>
        </w:rPr>
      </w:pPr>
      <w:r>
        <w:rPr>
          <w:rFonts w:ascii="TimesLT" w:hAnsi="TimesLT"/>
          <w:sz w:val="26"/>
          <w:lang w:eastAsia="lt-LT"/>
        </w:rPr>
        <w:separator/>
      </w:r>
    </w:p>
  </w:footnote>
  <w:footnote w:type="continuationSeparator" w:id="0">
    <w:p w14:paraId="0FFF0EDD" w14:textId="77777777" w:rsidR="00F87B86" w:rsidRDefault="00F87B86">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7B4CDA" w:rsidRDefault="00AE0B07">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7D50DE1E" w14:textId="77777777" w:rsidR="007B4CDA" w:rsidRDefault="007B4CDA">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373C4C33" w:rsidR="007B4CDA" w:rsidRDefault="00AE0B07">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noProof/>
        <w:szCs w:val="24"/>
        <w:lang w:eastAsia="lt-LT"/>
      </w:rPr>
      <w:t>2</w:t>
    </w:r>
    <w:r>
      <w:rPr>
        <w:szCs w:val="24"/>
        <w:lang w:eastAsia="lt-LT"/>
      </w:rPr>
      <w:fldChar w:fldCharType="end"/>
    </w:r>
  </w:p>
  <w:p w14:paraId="139F4288" w14:textId="77777777" w:rsidR="007B4CDA" w:rsidRDefault="007B4CDA">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93F1" w14:textId="77777777" w:rsidR="007B4CDA" w:rsidRDefault="007B4CD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144C3F"/>
    <w:rsid w:val="006E5559"/>
    <w:rsid w:val="007B4CDA"/>
    <w:rsid w:val="00A144D8"/>
    <w:rsid w:val="00AE0B07"/>
    <w:rsid w:val="00DD16A3"/>
    <w:rsid w:val="00F87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563633581">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5971</Words>
  <Characters>3405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9358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Rita Grabauskienė</cp:lastModifiedBy>
  <cp:revision>2</cp:revision>
  <cp:lastPrinted>2020-02-28T08:12:00Z</cp:lastPrinted>
  <dcterms:created xsi:type="dcterms:W3CDTF">2024-07-01T12:16:00Z</dcterms:created>
  <dcterms:modified xsi:type="dcterms:W3CDTF">2024-07-01T12:16:00Z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