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F9B6" w14:textId="77777777" w:rsidR="006C208E" w:rsidRDefault="00CF0955" w:rsidP="006C208E">
      <w:pPr>
        <w:pStyle w:val="Pavadinimas"/>
        <w:rPr>
          <w:szCs w:val="28"/>
        </w:rPr>
      </w:pPr>
      <w:r>
        <w:rPr>
          <w:szCs w:val="28"/>
        </w:rPr>
        <w:t>1</w:t>
      </w:r>
      <w:r w:rsidR="006C208E" w:rsidRPr="008B4F36">
        <w:rPr>
          <w:szCs w:val="28"/>
        </w:rPr>
        <w:t xml:space="preserve"> POSĖDIS</w:t>
      </w:r>
    </w:p>
    <w:p w14:paraId="09CC9256" w14:textId="77777777" w:rsidR="006C208E" w:rsidRDefault="006C208E" w:rsidP="006C208E">
      <w:pPr>
        <w:pStyle w:val="Pavadinimas"/>
        <w:rPr>
          <w:szCs w:val="28"/>
        </w:rPr>
      </w:pPr>
    </w:p>
    <w:p w14:paraId="0816B135" w14:textId="77777777"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6998E810" w14:textId="77777777" w:rsidR="003C674D" w:rsidRPr="003C674D" w:rsidRDefault="003C674D" w:rsidP="003C674D">
      <w:pPr>
        <w:jc w:val="center"/>
        <w:rPr>
          <w:rFonts w:ascii="Times New Roman" w:hAnsi="Times New Roman"/>
          <w:b/>
          <w:sz w:val="24"/>
          <w:szCs w:val="24"/>
        </w:rPr>
      </w:pPr>
      <w:r w:rsidRPr="003C674D">
        <w:rPr>
          <w:rFonts w:ascii="Times New Roman" w:hAnsi="Times New Roman"/>
          <w:b/>
          <w:sz w:val="24"/>
          <w:szCs w:val="24"/>
        </w:rPr>
        <w:t xml:space="preserve">DĖL </w:t>
      </w:r>
      <w:r w:rsidRPr="003C674D">
        <w:rPr>
          <w:rFonts w:ascii="Times New Roman" w:hAnsi="Times New Roman"/>
          <w:b/>
          <w:sz w:val="24"/>
          <w:szCs w:val="24"/>
          <w:lang w:eastAsia="en-US"/>
        </w:rPr>
        <w:t xml:space="preserve">KAUNO RAJONO SAVIVALDYBĖS </w:t>
      </w:r>
      <w:r w:rsidRPr="003C674D">
        <w:rPr>
          <w:rFonts w:ascii="Times New Roman" w:hAnsi="Times New Roman"/>
          <w:b/>
          <w:sz w:val="24"/>
          <w:szCs w:val="24"/>
        </w:rPr>
        <w:t xml:space="preserve">UŽIMTUMO </w:t>
      </w:r>
    </w:p>
    <w:p w14:paraId="2A0B954A" w14:textId="77777777" w:rsidR="003C674D" w:rsidRPr="003C674D" w:rsidRDefault="003C674D" w:rsidP="003C674D">
      <w:pPr>
        <w:jc w:val="center"/>
        <w:rPr>
          <w:rFonts w:ascii="Times New Roman" w:hAnsi="Times New Roman"/>
          <w:b/>
          <w:sz w:val="24"/>
          <w:szCs w:val="24"/>
          <w:lang w:eastAsia="en-US"/>
        </w:rPr>
      </w:pPr>
      <w:r w:rsidRPr="003C674D">
        <w:rPr>
          <w:rFonts w:ascii="Times New Roman" w:hAnsi="Times New Roman"/>
          <w:b/>
          <w:sz w:val="24"/>
          <w:szCs w:val="24"/>
        </w:rPr>
        <w:t xml:space="preserve">DIDINIMO 2025 M. PROGRAMOS </w:t>
      </w:r>
      <w:r w:rsidRPr="003C674D">
        <w:rPr>
          <w:rFonts w:ascii="Times New Roman" w:hAnsi="Times New Roman"/>
          <w:b/>
          <w:sz w:val="24"/>
          <w:szCs w:val="24"/>
          <w:lang w:eastAsia="en-US"/>
        </w:rPr>
        <w:t xml:space="preserve">PATVIRTINIMO </w:t>
      </w:r>
    </w:p>
    <w:p w14:paraId="196B0BCE" w14:textId="77777777" w:rsidR="00185C37" w:rsidRDefault="00185C37" w:rsidP="006D415C">
      <w:pPr>
        <w:jc w:val="center"/>
        <w:rPr>
          <w:rFonts w:ascii="Times New Roman" w:hAnsi="Times New Roman"/>
          <w:b/>
          <w:sz w:val="24"/>
          <w:szCs w:val="24"/>
        </w:rPr>
      </w:pPr>
    </w:p>
    <w:p w14:paraId="3AB0A219"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0F51B6">
        <w:rPr>
          <w:rFonts w:ascii="Times New Roman" w:hAnsi="Times New Roman"/>
          <w:sz w:val="24"/>
          <w:szCs w:val="24"/>
        </w:rPr>
        <w:t>sausio</w:t>
      </w:r>
      <w:r w:rsidRPr="00F13AD1">
        <w:rPr>
          <w:rFonts w:ascii="Times New Roman" w:hAnsi="Times New Roman"/>
          <w:sz w:val="24"/>
          <w:szCs w:val="24"/>
        </w:rPr>
        <w:t xml:space="preserve"> </w:t>
      </w:r>
      <w:r w:rsidR="000F51B6">
        <w:rPr>
          <w:rFonts w:ascii="Times New Roman" w:hAnsi="Times New Roman"/>
          <w:sz w:val="24"/>
          <w:szCs w:val="24"/>
        </w:rPr>
        <w:t>30</w:t>
      </w:r>
      <w:r w:rsidRPr="00F13AD1">
        <w:rPr>
          <w:rFonts w:ascii="Times New Roman" w:hAnsi="Times New Roman"/>
          <w:sz w:val="24"/>
          <w:szCs w:val="24"/>
        </w:rPr>
        <w:t xml:space="preserve"> d. Nr. TS-</w:t>
      </w:r>
      <w:r w:rsidR="00611EB5">
        <w:rPr>
          <w:rFonts w:ascii="Times New Roman" w:hAnsi="Times New Roman"/>
          <w:sz w:val="24"/>
          <w:szCs w:val="24"/>
        </w:rPr>
        <w:t>57</w:t>
      </w:r>
    </w:p>
    <w:p w14:paraId="25475EC4"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3E0B5C32" w14:textId="77777777" w:rsidR="009A3F21" w:rsidRDefault="009A3F21" w:rsidP="000A5245">
      <w:pPr>
        <w:widowControl w:val="0"/>
        <w:spacing w:line="360" w:lineRule="auto"/>
        <w:jc w:val="both"/>
        <w:rPr>
          <w:rFonts w:ascii="Times New Roman" w:hAnsi="Times New Roman"/>
          <w:sz w:val="24"/>
          <w:szCs w:val="24"/>
          <w:lang w:eastAsia="en-US"/>
        </w:rPr>
      </w:pPr>
    </w:p>
    <w:p w14:paraId="54DCBF95" w14:textId="77777777" w:rsidR="001A18CA" w:rsidRDefault="001A18CA" w:rsidP="001A18CA">
      <w:pPr>
        <w:pStyle w:val="Antrats"/>
        <w:jc w:val="both"/>
        <w:rPr>
          <w:rFonts w:ascii="Times New Roman" w:hAnsi="Times New Roman"/>
          <w:sz w:val="24"/>
          <w:szCs w:val="24"/>
        </w:rPr>
      </w:pPr>
    </w:p>
    <w:p w14:paraId="33AE93AB" w14:textId="77777777" w:rsidR="003C674D" w:rsidRPr="003C674D" w:rsidRDefault="003C674D" w:rsidP="003C674D">
      <w:pPr>
        <w:tabs>
          <w:tab w:val="left" w:pos="993"/>
        </w:tabs>
        <w:spacing w:line="360" w:lineRule="auto"/>
        <w:ind w:firstLine="851"/>
        <w:jc w:val="both"/>
        <w:rPr>
          <w:rFonts w:ascii="Times New Roman" w:hAnsi="Times New Roman"/>
          <w:sz w:val="24"/>
          <w:szCs w:val="24"/>
        </w:rPr>
      </w:pPr>
      <w:r w:rsidRPr="003C674D">
        <w:rPr>
          <w:rFonts w:ascii="Times New Roman" w:hAnsi="Times New Roman"/>
          <w:sz w:val="24"/>
          <w:szCs w:val="24"/>
        </w:rPr>
        <w:t xml:space="preserve">Vadovaudamasi Lietuvos Respublikos vietos savivaldos įstatymo 7 straipsnio 16 punktu,  Lietuvos Respublikos </w:t>
      </w:r>
      <w:bookmarkStart w:id="0" w:name="_Hlk160185408"/>
      <w:r w:rsidRPr="003C674D">
        <w:rPr>
          <w:rFonts w:ascii="Times New Roman" w:hAnsi="Times New Roman"/>
          <w:sz w:val="24"/>
          <w:szCs w:val="24"/>
        </w:rPr>
        <w:t>užimtumo įstatymo</w:t>
      </w:r>
      <w:bookmarkEnd w:id="0"/>
      <w:r w:rsidRPr="003C674D">
        <w:rPr>
          <w:rFonts w:ascii="Times New Roman" w:hAnsi="Times New Roman"/>
          <w:sz w:val="24"/>
          <w:szCs w:val="24"/>
        </w:rPr>
        <w:t xml:space="preserve"> 48 straipsnio 3 dalimi, Užimtumo didinimo programų rengimo ir jų finansavimo tvarkos aprašu, patvirtintu Lietuvos Respublikos socialinės apsaugos ir darbo ministro 2017 m. gegužės 23 d. įsakymu Nr. A1-257 „Dėl Užimtumo didinimo programų rengimo ir jų finansavimo tvarkos aprašo patvirtinimo“, Kauno rajono savivaldybės taryba </w:t>
      </w:r>
      <w:r w:rsidRPr="003C674D">
        <w:rPr>
          <w:rFonts w:ascii="Times New Roman" w:hAnsi="Times New Roman"/>
          <w:spacing w:val="30"/>
          <w:sz w:val="24"/>
          <w:szCs w:val="24"/>
          <w:lang w:eastAsia="en-US"/>
        </w:rPr>
        <w:t>nusprendžia</w:t>
      </w:r>
      <w:r w:rsidRPr="003C674D">
        <w:rPr>
          <w:rFonts w:ascii="Times New Roman" w:hAnsi="Times New Roman"/>
          <w:sz w:val="24"/>
          <w:szCs w:val="24"/>
          <w:lang w:eastAsia="en-US"/>
        </w:rPr>
        <w:t>:</w:t>
      </w:r>
    </w:p>
    <w:p w14:paraId="4B63C71C" w14:textId="77777777" w:rsidR="003C674D" w:rsidRPr="003C674D" w:rsidRDefault="003C674D" w:rsidP="003C674D">
      <w:pPr>
        <w:spacing w:line="360" w:lineRule="auto"/>
        <w:ind w:firstLine="851"/>
        <w:jc w:val="both"/>
        <w:rPr>
          <w:rFonts w:ascii="Times New Roman" w:hAnsi="Times New Roman"/>
          <w:sz w:val="24"/>
          <w:szCs w:val="24"/>
          <w:lang w:eastAsia="en-US"/>
        </w:rPr>
      </w:pPr>
      <w:r w:rsidRPr="003C674D">
        <w:rPr>
          <w:rFonts w:ascii="Times New Roman" w:hAnsi="Times New Roman"/>
          <w:sz w:val="24"/>
          <w:szCs w:val="24"/>
        </w:rPr>
        <w:t xml:space="preserve">Patvirtinti </w:t>
      </w:r>
      <w:r w:rsidRPr="003C674D">
        <w:rPr>
          <w:rFonts w:ascii="Times New Roman" w:hAnsi="Times New Roman"/>
          <w:sz w:val="24"/>
          <w:szCs w:val="24"/>
          <w:lang w:eastAsia="en-US"/>
        </w:rPr>
        <w:t xml:space="preserve">Kauno rajono savivaldybės užimtumo didinimo 2025 m. programą (pridedama). </w:t>
      </w:r>
    </w:p>
    <w:p w14:paraId="4DDA5BA8" w14:textId="77777777" w:rsidR="003C674D" w:rsidRPr="003C674D" w:rsidRDefault="003C674D" w:rsidP="003C674D">
      <w:pPr>
        <w:spacing w:line="276" w:lineRule="auto"/>
        <w:ind w:firstLine="851"/>
        <w:jc w:val="both"/>
        <w:rPr>
          <w:rFonts w:ascii="Times New Roman" w:hAnsi="Times New Roman"/>
          <w:sz w:val="24"/>
          <w:szCs w:val="24"/>
        </w:rPr>
      </w:pPr>
    </w:p>
    <w:p w14:paraId="4CFB17BE" w14:textId="77777777" w:rsidR="003C674D" w:rsidRPr="003C674D" w:rsidRDefault="003C674D" w:rsidP="003C674D">
      <w:pPr>
        <w:ind w:firstLine="851"/>
        <w:jc w:val="both"/>
        <w:rPr>
          <w:rFonts w:ascii="Times New Roman" w:hAnsi="Times New Roman"/>
          <w:sz w:val="24"/>
          <w:szCs w:val="24"/>
        </w:rPr>
      </w:pPr>
    </w:p>
    <w:p w14:paraId="57CABA73" w14:textId="77777777" w:rsidR="003C674D" w:rsidRPr="003C674D" w:rsidRDefault="003C674D" w:rsidP="005115FD">
      <w:pPr>
        <w:tabs>
          <w:tab w:val="left" w:pos="7230"/>
        </w:tabs>
        <w:jc w:val="both"/>
        <w:rPr>
          <w:rFonts w:ascii="Times New Roman" w:hAnsi="Times New Roman"/>
          <w:sz w:val="24"/>
          <w:szCs w:val="24"/>
        </w:rPr>
      </w:pPr>
      <w:r w:rsidRPr="003C674D">
        <w:rPr>
          <w:rFonts w:ascii="Times New Roman" w:hAnsi="Times New Roman"/>
          <w:sz w:val="24"/>
          <w:szCs w:val="24"/>
        </w:rPr>
        <w:t>Savivaldybės meras</w:t>
      </w:r>
      <w:r w:rsidR="005115FD">
        <w:rPr>
          <w:rFonts w:ascii="Times New Roman" w:hAnsi="Times New Roman"/>
          <w:sz w:val="24"/>
          <w:szCs w:val="24"/>
        </w:rPr>
        <w:tab/>
        <w:t>Valerijus Makūnas</w:t>
      </w:r>
    </w:p>
    <w:p w14:paraId="175FB33C" w14:textId="77777777" w:rsidR="00FE586B" w:rsidRDefault="00FE586B" w:rsidP="00894A24">
      <w:pPr>
        <w:spacing w:line="360" w:lineRule="auto"/>
        <w:jc w:val="both"/>
        <w:rPr>
          <w:rFonts w:ascii="Times New Roman" w:hAnsi="Times New Roman"/>
          <w:sz w:val="24"/>
          <w:szCs w:val="24"/>
        </w:rPr>
      </w:pPr>
    </w:p>
    <w:p w14:paraId="4D6BB606" w14:textId="77777777" w:rsidR="003C674D" w:rsidRDefault="003C674D" w:rsidP="00894A24">
      <w:pPr>
        <w:spacing w:line="360" w:lineRule="auto"/>
        <w:jc w:val="both"/>
        <w:rPr>
          <w:rFonts w:ascii="Times New Roman" w:hAnsi="Times New Roman"/>
          <w:sz w:val="24"/>
          <w:szCs w:val="24"/>
        </w:rPr>
      </w:pPr>
    </w:p>
    <w:p w14:paraId="3832EAFB" w14:textId="77777777" w:rsidR="003C674D" w:rsidRDefault="003C674D" w:rsidP="00894A24">
      <w:pPr>
        <w:spacing w:line="360" w:lineRule="auto"/>
        <w:jc w:val="both"/>
        <w:rPr>
          <w:rFonts w:ascii="Times New Roman" w:hAnsi="Times New Roman"/>
          <w:sz w:val="24"/>
          <w:szCs w:val="24"/>
        </w:rPr>
      </w:pPr>
    </w:p>
    <w:p w14:paraId="146D811E" w14:textId="77777777" w:rsidR="003C674D" w:rsidRDefault="003C674D" w:rsidP="00894A24">
      <w:pPr>
        <w:spacing w:line="360" w:lineRule="auto"/>
        <w:jc w:val="both"/>
        <w:rPr>
          <w:rFonts w:ascii="Times New Roman" w:hAnsi="Times New Roman"/>
          <w:sz w:val="24"/>
          <w:szCs w:val="24"/>
        </w:rPr>
      </w:pPr>
    </w:p>
    <w:p w14:paraId="47FF1EE2" w14:textId="77777777" w:rsidR="003C674D" w:rsidRDefault="003C674D" w:rsidP="00894A24">
      <w:pPr>
        <w:spacing w:line="360" w:lineRule="auto"/>
        <w:jc w:val="both"/>
        <w:rPr>
          <w:rFonts w:ascii="Times New Roman" w:hAnsi="Times New Roman"/>
          <w:sz w:val="24"/>
          <w:szCs w:val="24"/>
        </w:rPr>
      </w:pPr>
    </w:p>
    <w:p w14:paraId="2150ACC7" w14:textId="77777777" w:rsidR="003C674D" w:rsidRDefault="003C674D" w:rsidP="00894A24">
      <w:pPr>
        <w:spacing w:line="360" w:lineRule="auto"/>
        <w:jc w:val="both"/>
        <w:rPr>
          <w:rFonts w:ascii="Times New Roman" w:hAnsi="Times New Roman"/>
          <w:sz w:val="24"/>
          <w:szCs w:val="24"/>
        </w:rPr>
      </w:pPr>
    </w:p>
    <w:p w14:paraId="2F011E9E" w14:textId="77777777" w:rsidR="003C674D" w:rsidRDefault="003C674D" w:rsidP="00894A24">
      <w:pPr>
        <w:spacing w:line="360" w:lineRule="auto"/>
        <w:jc w:val="both"/>
        <w:rPr>
          <w:rFonts w:ascii="Times New Roman" w:hAnsi="Times New Roman"/>
          <w:sz w:val="24"/>
          <w:szCs w:val="24"/>
        </w:rPr>
      </w:pPr>
    </w:p>
    <w:p w14:paraId="59006272" w14:textId="77777777" w:rsidR="003C674D" w:rsidRDefault="003C674D" w:rsidP="00894A24">
      <w:pPr>
        <w:spacing w:line="360" w:lineRule="auto"/>
        <w:jc w:val="both"/>
        <w:rPr>
          <w:rFonts w:ascii="Times New Roman" w:hAnsi="Times New Roman"/>
          <w:sz w:val="24"/>
          <w:szCs w:val="24"/>
        </w:rPr>
      </w:pPr>
    </w:p>
    <w:p w14:paraId="7ECDA174" w14:textId="77777777" w:rsidR="003C674D" w:rsidRDefault="003C674D" w:rsidP="00894A24">
      <w:pPr>
        <w:spacing w:line="360" w:lineRule="auto"/>
        <w:jc w:val="both"/>
        <w:rPr>
          <w:rFonts w:ascii="Times New Roman" w:hAnsi="Times New Roman"/>
          <w:sz w:val="24"/>
          <w:szCs w:val="24"/>
        </w:rPr>
      </w:pPr>
    </w:p>
    <w:p w14:paraId="31B7CA84" w14:textId="77777777" w:rsidR="003C674D" w:rsidRDefault="003C674D" w:rsidP="00894A24">
      <w:pPr>
        <w:spacing w:line="360" w:lineRule="auto"/>
        <w:jc w:val="both"/>
        <w:rPr>
          <w:rFonts w:ascii="Times New Roman" w:hAnsi="Times New Roman"/>
          <w:sz w:val="24"/>
          <w:szCs w:val="24"/>
        </w:rPr>
      </w:pPr>
    </w:p>
    <w:p w14:paraId="72E0E8AA" w14:textId="77777777" w:rsidR="003C674D" w:rsidRDefault="003C674D" w:rsidP="00894A24">
      <w:pPr>
        <w:spacing w:line="360" w:lineRule="auto"/>
        <w:jc w:val="both"/>
        <w:rPr>
          <w:rFonts w:ascii="Times New Roman" w:hAnsi="Times New Roman"/>
          <w:sz w:val="24"/>
          <w:szCs w:val="24"/>
        </w:rPr>
      </w:pPr>
    </w:p>
    <w:p w14:paraId="394AC33C" w14:textId="77777777" w:rsidR="003C674D" w:rsidRDefault="003C674D" w:rsidP="00894A24">
      <w:pPr>
        <w:spacing w:line="360" w:lineRule="auto"/>
        <w:jc w:val="both"/>
        <w:rPr>
          <w:rFonts w:ascii="Times New Roman" w:hAnsi="Times New Roman"/>
          <w:sz w:val="24"/>
          <w:szCs w:val="24"/>
        </w:rPr>
      </w:pPr>
    </w:p>
    <w:p w14:paraId="0430A9D8" w14:textId="77777777" w:rsidR="003C674D" w:rsidRDefault="003C674D" w:rsidP="00894A24">
      <w:pPr>
        <w:spacing w:line="360" w:lineRule="auto"/>
        <w:jc w:val="both"/>
        <w:rPr>
          <w:rFonts w:ascii="Times New Roman" w:hAnsi="Times New Roman"/>
          <w:sz w:val="24"/>
          <w:szCs w:val="24"/>
        </w:rPr>
      </w:pPr>
    </w:p>
    <w:p w14:paraId="59F07D2A" w14:textId="77777777" w:rsidR="003C674D" w:rsidRDefault="003C674D" w:rsidP="00894A24">
      <w:pPr>
        <w:spacing w:line="360" w:lineRule="auto"/>
        <w:jc w:val="both"/>
        <w:rPr>
          <w:rFonts w:ascii="Times New Roman" w:hAnsi="Times New Roman"/>
          <w:sz w:val="24"/>
          <w:szCs w:val="24"/>
        </w:rPr>
      </w:pPr>
    </w:p>
    <w:p w14:paraId="79FE88D9" w14:textId="77777777" w:rsidR="003C674D" w:rsidRDefault="003C674D" w:rsidP="00894A24">
      <w:pPr>
        <w:spacing w:line="360" w:lineRule="auto"/>
        <w:jc w:val="both"/>
        <w:rPr>
          <w:rFonts w:ascii="Times New Roman" w:hAnsi="Times New Roman"/>
          <w:sz w:val="24"/>
          <w:szCs w:val="24"/>
        </w:rPr>
      </w:pPr>
    </w:p>
    <w:p w14:paraId="34D4EFCF" w14:textId="77777777" w:rsidR="003C674D" w:rsidRPr="003C674D" w:rsidRDefault="003C674D" w:rsidP="005115FD">
      <w:pPr>
        <w:tabs>
          <w:tab w:val="left" w:pos="2977"/>
        </w:tabs>
        <w:ind w:left="7392" w:hanging="2572"/>
        <w:rPr>
          <w:rFonts w:ascii="Times New Roman" w:hAnsi="Times New Roman"/>
          <w:sz w:val="24"/>
          <w:szCs w:val="24"/>
        </w:rPr>
      </w:pPr>
      <w:r w:rsidRPr="003C674D">
        <w:rPr>
          <w:rFonts w:ascii="Times New Roman" w:hAnsi="Times New Roman"/>
          <w:sz w:val="24"/>
          <w:szCs w:val="24"/>
        </w:rPr>
        <w:lastRenderedPageBreak/>
        <w:t>PATVIRTINTA</w:t>
      </w:r>
    </w:p>
    <w:p w14:paraId="68009F27" w14:textId="77777777" w:rsidR="003C674D" w:rsidRPr="003C674D" w:rsidRDefault="003C674D" w:rsidP="0051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92" w:hanging="2572"/>
        <w:rPr>
          <w:rFonts w:ascii="Times New Roman" w:hAnsi="Times New Roman"/>
          <w:sz w:val="24"/>
          <w:szCs w:val="24"/>
        </w:rPr>
      </w:pPr>
      <w:r w:rsidRPr="003C674D">
        <w:rPr>
          <w:rFonts w:ascii="Times New Roman" w:hAnsi="Times New Roman"/>
          <w:sz w:val="24"/>
          <w:szCs w:val="24"/>
        </w:rPr>
        <w:t>Kauno rajono savivaldybės tarybos</w:t>
      </w:r>
    </w:p>
    <w:p w14:paraId="7AE69BE4" w14:textId="77777777" w:rsidR="003C674D" w:rsidRPr="003C674D" w:rsidRDefault="003C674D" w:rsidP="0051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92" w:hanging="2572"/>
        <w:rPr>
          <w:rFonts w:ascii="Times New Roman" w:hAnsi="Times New Roman"/>
          <w:sz w:val="24"/>
          <w:szCs w:val="24"/>
        </w:rPr>
      </w:pPr>
      <w:r w:rsidRPr="003C674D">
        <w:rPr>
          <w:rFonts w:ascii="Times New Roman" w:hAnsi="Times New Roman"/>
          <w:sz w:val="24"/>
          <w:szCs w:val="24"/>
        </w:rPr>
        <w:t>2025 m. sausio 30 d. sprendimu Nr. TS-</w:t>
      </w:r>
      <w:r w:rsidR="00611EB5">
        <w:rPr>
          <w:rFonts w:ascii="Times New Roman" w:hAnsi="Times New Roman"/>
          <w:sz w:val="24"/>
          <w:szCs w:val="24"/>
        </w:rPr>
        <w:t>57</w:t>
      </w:r>
    </w:p>
    <w:p w14:paraId="7BF77C46" w14:textId="77777777" w:rsidR="003C674D" w:rsidRPr="003C674D" w:rsidRDefault="003C674D" w:rsidP="003C674D">
      <w:pPr>
        <w:spacing w:after="120" w:line="276" w:lineRule="auto"/>
        <w:ind w:firstLine="851"/>
        <w:rPr>
          <w:rFonts w:ascii="Times New Roman" w:eastAsia="Calibri" w:hAnsi="Times New Roman"/>
          <w:b/>
          <w:bCs/>
          <w:sz w:val="24"/>
          <w:szCs w:val="24"/>
          <w:lang w:eastAsia="en-US"/>
        </w:rPr>
      </w:pPr>
    </w:p>
    <w:p w14:paraId="606792C6" w14:textId="77777777" w:rsidR="003C674D" w:rsidRPr="003C674D" w:rsidRDefault="003C674D" w:rsidP="003C674D">
      <w:pPr>
        <w:ind w:firstLine="851"/>
        <w:jc w:val="center"/>
        <w:rPr>
          <w:rFonts w:ascii="Times New Roman" w:eastAsia="Calibri" w:hAnsi="Times New Roman"/>
          <w:b/>
          <w:bCs/>
          <w:sz w:val="24"/>
          <w:szCs w:val="24"/>
          <w:lang w:eastAsia="en-US"/>
        </w:rPr>
      </w:pPr>
      <w:r w:rsidRPr="003C674D">
        <w:rPr>
          <w:rFonts w:ascii="Times New Roman" w:eastAsia="Calibri" w:hAnsi="Times New Roman"/>
          <w:b/>
          <w:bCs/>
          <w:sz w:val="24"/>
          <w:szCs w:val="24"/>
          <w:lang w:eastAsia="en-US"/>
        </w:rPr>
        <w:t xml:space="preserve">KAUNO RAJONO SAVIVALDYBĖS UŽIMTUMO DIDINIMO </w:t>
      </w:r>
    </w:p>
    <w:p w14:paraId="00768DD3" w14:textId="77777777" w:rsidR="003C674D" w:rsidRPr="003C674D" w:rsidRDefault="003C674D" w:rsidP="003C674D">
      <w:pPr>
        <w:ind w:firstLine="851"/>
        <w:jc w:val="center"/>
        <w:rPr>
          <w:rFonts w:ascii="Times New Roman" w:eastAsia="Calibri" w:hAnsi="Times New Roman"/>
          <w:b/>
          <w:bCs/>
          <w:sz w:val="24"/>
          <w:szCs w:val="24"/>
          <w:lang w:eastAsia="en-US"/>
        </w:rPr>
      </w:pPr>
      <w:r w:rsidRPr="003C674D">
        <w:rPr>
          <w:rFonts w:ascii="Times New Roman" w:eastAsia="Calibri" w:hAnsi="Times New Roman"/>
          <w:b/>
          <w:bCs/>
          <w:sz w:val="24"/>
          <w:szCs w:val="24"/>
          <w:lang w:eastAsia="en-US"/>
        </w:rPr>
        <w:t>2025 M. PROGRAMA</w:t>
      </w:r>
    </w:p>
    <w:p w14:paraId="5F2B8D99" w14:textId="77777777" w:rsidR="003C674D" w:rsidRPr="003C674D" w:rsidRDefault="003C674D" w:rsidP="003C674D">
      <w:pPr>
        <w:tabs>
          <w:tab w:val="left" w:pos="5640"/>
        </w:tabs>
        <w:spacing w:after="120"/>
        <w:ind w:firstLine="851"/>
        <w:jc w:val="center"/>
        <w:rPr>
          <w:rFonts w:ascii="Times New Roman" w:eastAsia="Calibri" w:hAnsi="Times New Roman"/>
          <w:b/>
          <w:bCs/>
          <w:sz w:val="24"/>
          <w:szCs w:val="24"/>
          <w:lang w:eastAsia="en-US"/>
        </w:rPr>
      </w:pPr>
    </w:p>
    <w:p w14:paraId="24E41E65" w14:textId="77777777" w:rsidR="003C674D" w:rsidRPr="003C674D" w:rsidRDefault="003C674D" w:rsidP="003C674D">
      <w:pPr>
        <w:ind w:firstLine="851"/>
        <w:jc w:val="center"/>
        <w:rPr>
          <w:rFonts w:ascii="Times New Roman" w:eastAsia="Calibri" w:hAnsi="Times New Roman"/>
          <w:b/>
          <w:bCs/>
          <w:sz w:val="24"/>
          <w:szCs w:val="24"/>
          <w:lang w:eastAsia="en-US"/>
        </w:rPr>
      </w:pPr>
      <w:r w:rsidRPr="003C674D">
        <w:rPr>
          <w:rFonts w:ascii="Times New Roman" w:eastAsia="Calibri" w:hAnsi="Times New Roman"/>
          <w:b/>
          <w:bCs/>
          <w:sz w:val="24"/>
          <w:szCs w:val="24"/>
          <w:lang w:eastAsia="en-US"/>
        </w:rPr>
        <w:t>I SKYRIUS</w:t>
      </w:r>
    </w:p>
    <w:p w14:paraId="5E6ED8A3" w14:textId="77777777" w:rsidR="003C674D" w:rsidRPr="003C674D" w:rsidRDefault="003C674D" w:rsidP="003C674D">
      <w:pPr>
        <w:ind w:firstLine="851"/>
        <w:jc w:val="center"/>
        <w:rPr>
          <w:rFonts w:ascii="Times New Roman" w:eastAsia="Calibri" w:hAnsi="Times New Roman"/>
          <w:b/>
          <w:bCs/>
          <w:sz w:val="24"/>
          <w:szCs w:val="24"/>
          <w:lang w:eastAsia="en-US"/>
        </w:rPr>
      </w:pPr>
      <w:r w:rsidRPr="003C674D">
        <w:rPr>
          <w:rFonts w:ascii="Times New Roman" w:eastAsia="Calibri" w:hAnsi="Times New Roman"/>
          <w:b/>
          <w:bCs/>
          <w:sz w:val="24"/>
          <w:szCs w:val="24"/>
          <w:lang w:eastAsia="en-US"/>
        </w:rPr>
        <w:t>ĮVADAS</w:t>
      </w:r>
    </w:p>
    <w:p w14:paraId="5D79DE26" w14:textId="77777777" w:rsidR="003C674D" w:rsidRPr="003C674D" w:rsidRDefault="003C674D" w:rsidP="003C674D">
      <w:pPr>
        <w:spacing w:line="360" w:lineRule="auto"/>
        <w:ind w:left="720" w:firstLine="851"/>
        <w:rPr>
          <w:rFonts w:ascii="Times New Roman" w:hAnsi="Times New Roman"/>
          <w:sz w:val="24"/>
          <w:szCs w:val="24"/>
        </w:rPr>
      </w:pPr>
    </w:p>
    <w:p w14:paraId="274C3817" w14:textId="77777777" w:rsidR="003C674D" w:rsidRPr="003C674D" w:rsidRDefault="003C674D">
      <w:pPr>
        <w:widowControl w:val="0"/>
        <w:numPr>
          <w:ilvl w:val="0"/>
          <w:numId w:val="1"/>
        </w:numPr>
        <w:spacing w:line="360" w:lineRule="auto"/>
        <w:ind w:left="0" w:firstLine="851"/>
        <w:contextualSpacing/>
        <w:jc w:val="both"/>
        <w:rPr>
          <w:rFonts w:ascii="Times New Roman" w:hAnsi="Times New Roman"/>
          <w:sz w:val="24"/>
          <w:szCs w:val="24"/>
        </w:rPr>
      </w:pPr>
      <w:r w:rsidRPr="003C674D">
        <w:rPr>
          <w:rFonts w:ascii="Times New Roman" w:eastAsia="Calibri" w:hAnsi="Times New Roman"/>
          <w:sz w:val="24"/>
          <w:szCs w:val="24"/>
        </w:rPr>
        <w:t>Kauno rajono savivaldybės (toliau – Savivaldybė)  užimtumo didinimo 2025 metų programa (toliau – Programa)</w:t>
      </w:r>
      <w:r w:rsidRPr="003C674D">
        <w:rPr>
          <w:rFonts w:ascii="Times New Roman" w:hAnsi="Times New Roman"/>
          <w:sz w:val="24"/>
          <w:szCs w:val="24"/>
        </w:rPr>
        <w:t xml:space="preserve"> parengta siekiant kompleksiškai spręsti Kauno rajono savivaldybės (toliau </w:t>
      </w:r>
      <w:r w:rsidRPr="003C674D">
        <w:rPr>
          <w:rFonts w:ascii="Times New Roman" w:hAnsi="Times New Roman"/>
          <w:color w:val="000000"/>
          <w:sz w:val="24"/>
          <w:szCs w:val="24"/>
        </w:rPr>
        <w:t xml:space="preserve">– Savivaldybė) </w:t>
      </w:r>
      <w:r w:rsidRPr="003C674D">
        <w:rPr>
          <w:rFonts w:ascii="Times New Roman" w:hAnsi="Times New Roman"/>
          <w:sz w:val="24"/>
          <w:szCs w:val="24"/>
        </w:rPr>
        <w:t xml:space="preserve">gyventojų užimtumo problemas, </w:t>
      </w:r>
      <w:r w:rsidRPr="003C674D">
        <w:rPr>
          <w:rFonts w:ascii="Times New Roman" w:eastAsia="Calibri" w:hAnsi="Times New Roman"/>
          <w:sz w:val="24"/>
          <w:szCs w:val="24"/>
        </w:rPr>
        <w:t xml:space="preserve">sutelkiant Kauno rajono savivaldybės (toliau – Savivaldybė) įstaigas, </w:t>
      </w:r>
      <w:r w:rsidRPr="003C674D">
        <w:rPr>
          <w:rFonts w:ascii="Times New Roman" w:hAnsi="Times New Roman"/>
          <w:sz w:val="24"/>
          <w:szCs w:val="24"/>
        </w:rPr>
        <w:t xml:space="preserve">Užimtumo tarnybos prie Lietuvos Respublikos Socialinės apsaugos ir darbo ministerijos Kauno klientų aptarnavimo departamento Kauno 3-ąjį skyrių (toliau </w:t>
      </w:r>
      <w:r w:rsidRPr="003C674D">
        <w:rPr>
          <w:rFonts w:ascii="Times New Roman" w:hAnsi="Times New Roman"/>
          <w:color w:val="000000"/>
          <w:sz w:val="24"/>
          <w:szCs w:val="24"/>
        </w:rPr>
        <w:t>– Užimtumo tarnyba), socialinius partnerius ir nevyriausybines organizacijas.</w:t>
      </w:r>
    </w:p>
    <w:p w14:paraId="32108D7E" w14:textId="77777777" w:rsidR="003C674D" w:rsidRPr="003C674D" w:rsidRDefault="003C674D">
      <w:pPr>
        <w:widowControl w:val="0"/>
        <w:numPr>
          <w:ilvl w:val="0"/>
          <w:numId w:val="1"/>
        </w:numPr>
        <w:spacing w:line="360" w:lineRule="auto"/>
        <w:ind w:left="0" w:firstLine="851"/>
        <w:contextualSpacing/>
        <w:jc w:val="both"/>
        <w:rPr>
          <w:rFonts w:ascii="Times New Roman" w:hAnsi="Times New Roman"/>
          <w:sz w:val="24"/>
          <w:szCs w:val="24"/>
        </w:rPr>
      </w:pPr>
      <w:r w:rsidRPr="003C674D">
        <w:rPr>
          <w:rFonts w:ascii="Times New Roman" w:eastAsia="Calibri" w:hAnsi="Times New Roman"/>
          <w:sz w:val="24"/>
          <w:szCs w:val="24"/>
        </w:rPr>
        <w:t xml:space="preserve">Programa parengta </w:t>
      </w:r>
      <w:r w:rsidRPr="003C674D">
        <w:rPr>
          <w:rFonts w:ascii="Times New Roman" w:eastAsia="Calibri" w:hAnsi="Times New Roman"/>
          <w:color w:val="000000" w:themeColor="text1"/>
          <w:sz w:val="24"/>
          <w:szCs w:val="24"/>
          <w:lang w:eastAsia="en-US"/>
        </w:rPr>
        <w:t>vadovaujantis Užimtumo didinimo programų rengimo ir jų finansavimo tvarkos aprašu, patvirtintu Lietuvos Respublikos socialinės apsaugos ir darbo ministro 2017 m. gegužės 23 d. įsakymu Nr. A1-257 „Dėl Užimtumo didinimo programų rengimo ir jų finansavimo tvarkos aprašo patvirtinimo“ (toliau – Aprašas).</w:t>
      </w:r>
    </w:p>
    <w:p w14:paraId="4010EB06" w14:textId="77777777" w:rsidR="003C674D" w:rsidRPr="003C674D" w:rsidRDefault="003C674D">
      <w:pPr>
        <w:widowControl w:val="0"/>
        <w:numPr>
          <w:ilvl w:val="0"/>
          <w:numId w:val="1"/>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Programa parengta vadovaujantis bendradarbiavimo, kompleksiškumo, individualumo, efektyvumo, tęstinumo, ekonomiškumo ir viešumo principais.</w:t>
      </w:r>
    </w:p>
    <w:p w14:paraId="64150D42" w14:textId="77777777" w:rsidR="003C674D" w:rsidRPr="003C674D" w:rsidRDefault="003C674D">
      <w:pPr>
        <w:numPr>
          <w:ilvl w:val="0"/>
          <w:numId w:val="1"/>
        </w:numPr>
        <w:tabs>
          <w:tab w:val="left" w:pos="567"/>
          <w:tab w:val="left" w:pos="851"/>
        </w:tabs>
        <w:spacing w:line="360" w:lineRule="auto"/>
        <w:ind w:left="0" w:firstLine="851"/>
        <w:contextualSpacing/>
        <w:jc w:val="both"/>
        <w:rPr>
          <w:rFonts w:ascii="Times New Roman" w:eastAsia="Calibri" w:hAnsi="Times New Roman"/>
          <w:sz w:val="24"/>
          <w:szCs w:val="24"/>
        </w:rPr>
      </w:pPr>
      <w:r w:rsidRPr="003C674D">
        <w:rPr>
          <w:rFonts w:ascii="Times New Roman" w:eastAsia="Calibri" w:hAnsi="Times New Roman"/>
          <w:sz w:val="24"/>
          <w:szCs w:val="24"/>
        </w:rPr>
        <w:t>Programos parengimą lėmė:</w:t>
      </w:r>
    </w:p>
    <w:p w14:paraId="16AA9324" w14:textId="77777777" w:rsidR="003C674D" w:rsidRPr="003C674D" w:rsidRDefault="003C674D">
      <w:pPr>
        <w:numPr>
          <w:ilvl w:val="1"/>
          <w:numId w:val="1"/>
        </w:numPr>
        <w:tabs>
          <w:tab w:val="left" w:pos="567"/>
          <w:tab w:val="left" w:pos="851"/>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eastAsia="Calibri" w:hAnsi="Times New Roman"/>
          <w:color w:val="000000" w:themeColor="text1"/>
          <w:sz w:val="24"/>
          <w:szCs w:val="24"/>
          <w:lang w:eastAsia="en-US"/>
        </w:rPr>
        <w:t xml:space="preserve">poreikis teikti kompleksinę pagalbą </w:t>
      </w:r>
      <w:r w:rsidRPr="003C674D">
        <w:rPr>
          <w:rFonts w:ascii="Times New Roman" w:eastAsia="Lucida Sans Unicode" w:hAnsi="Times New Roman" w:cs="Mangal"/>
          <w:kern w:val="2"/>
          <w:sz w:val="24"/>
          <w:szCs w:val="21"/>
          <w:lang w:eastAsia="hi-IN" w:bidi="hi-IN"/>
        </w:rPr>
        <w:t>Užimtumo</w:t>
      </w:r>
      <w:r w:rsidRPr="003C674D">
        <w:rPr>
          <w:rFonts w:ascii="Times New Roman" w:eastAsia="Lucida Sans Unicode" w:hAnsi="Times New Roman" w:cs="Mangal"/>
          <w:bCs/>
          <w:color w:val="000000"/>
          <w:kern w:val="2"/>
          <w:sz w:val="24"/>
          <w:szCs w:val="21"/>
          <w:lang w:eastAsia="hi-IN" w:bidi="hi-IN"/>
        </w:rPr>
        <w:t xml:space="preserve"> tarnyboje registruotiems Kauno rajono gyventojams, susiduriantiems su užimtumo iššūkiais;</w:t>
      </w:r>
    </w:p>
    <w:p w14:paraId="28DB90B7" w14:textId="77777777" w:rsidR="003C674D" w:rsidRPr="003C674D" w:rsidRDefault="003C674D">
      <w:pPr>
        <w:numPr>
          <w:ilvl w:val="1"/>
          <w:numId w:val="1"/>
        </w:numPr>
        <w:tabs>
          <w:tab w:val="left" w:pos="567"/>
          <w:tab w:val="left" w:pos="851"/>
        </w:tabs>
        <w:spacing w:line="360" w:lineRule="auto"/>
        <w:ind w:left="0" w:firstLine="851"/>
        <w:contextualSpacing/>
        <w:jc w:val="both"/>
        <w:rPr>
          <w:rFonts w:ascii="Times New Roman" w:eastAsia="Calibri" w:hAnsi="Times New Roman"/>
          <w:color w:val="000000" w:themeColor="text1"/>
          <w:sz w:val="24"/>
          <w:szCs w:val="24"/>
        </w:rPr>
      </w:pPr>
      <w:r w:rsidRPr="003C674D">
        <w:rPr>
          <w:rFonts w:ascii="Times New Roman" w:eastAsia="Calibri" w:hAnsi="Times New Roman"/>
          <w:color w:val="000000" w:themeColor="text1"/>
          <w:sz w:val="24"/>
          <w:szCs w:val="24"/>
        </w:rPr>
        <w:t>poreikis skatinti ilgalaikius bedarbius aktyviai prisidėti prie bendruomenės gerovės kūrimo ir didinti jų darbinę motyvaciją.</w:t>
      </w:r>
    </w:p>
    <w:p w14:paraId="0A4B7EA5" w14:textId="77777777" w:rsidR="003C674D" w:rsidRPr="003C674D" w:rsidRDefault="003C674D">
      <w:pPr>
        <w:numPr>
          <w:ilvl w:val="0"/>
          <w:numId w:val="1"/>
        </w:numPr>
        <w:tabs>
          <w:tab w:val="left" w:pos="567"/>
          <w:tab w:val="left" w:pos="851"/>
        </w:tabs>
        <w:spacing w:line="360" w:lineRule="auto"/>
        <w:ind w:left="0" w:firstLine="851"/>
        <w:contextualSpacing/>
        <w:jc w:val="both"/>
        <w:rPr>
          <w:rFonts w:ascii="Times New Roman" w:eastAsia="Calibri" w:hAnsi="Times New Roman"/>
          <w:sz w:val="24"/>
          <w:szCs w:val="24"/>
        </w:rPr>
      </w:pPr>
      <w:r w:rsidRPr="003C674D">
        <w:rPr>
          <w:rFonts w:ascii="Times New Roman" w:eastAsia="Calibri" w:hAnsi="Times New Roman"/>
          <w:sz w:val="24"/>
          <w:szCs w:val="24"/>
        </w:rPr>
        <w:t xml:space="preserve">Programos tikslas – </w:t>
      </w:r>
      <w:r w:rsidRPr="003C674D">
        <w:rPr>
          <w:rFonts w:ascii="Times New Roman" w:eastAsia="Lucida Sans Unicode" w:hAnsi="Times New Roman" w:cs="Mangal"/>
          <w:kern w:val="2"/>
          <w:sz w:val="24"/>
          <w:szCs w:val="21"/>
          <w:lang w:eastAsia="hi-IN" w:bidi="hi-IN"/>
        </w:rPr>
        <w:t>pašalinti Užimtumo</w:t>
      </w:r>
      <w:r w:rsidRPr="003C674D">
        <w:rPr>
          <w:rFonts w:ascii="Times New Roman" w:eastAsia="Lucida Sans Unicode" w:hAnsi="Times New Roman" w:cs="Mangal"/>
          <w:bCs/>
          <w:color w:val="000000"/>
          <w:kern w:val="2"/>
          <w:sz w:val="24"/>
          <w:szCs w:val="21"/>
          <w:lang w:eastAsia="hi-IN" w:bidi="hi-IN"/>
        </w:rPr>
        <w:t xml:space="preserve"> tarnyboje registruotų Kauno rajono gyventojų, nurodytų Užimtumo įstatymo 48 straipsnio 2 dalyje (toliau – Tikslinės grupės) įsidarbinimą ribojančias aplinkybes ir siekti jų tvaraus užimtumo.</w:t>
      </w:r>
    </w:p>
    <w:p w14:paraId="0D464255" w14:textId="77777777" w:rsidR="003C674D" w:rsidRPr="003C674D" w:rsidRDefault="003C674D">
      <w:pPr>
        <w:numPr>
          <w:ilvl w:val="0"/>
          <w:numId w:val="1"/>
        </w:numPr>
        <w:tabs>
          <w:tab w:val="left" w:pos="567"/>
          <w:tab w:val="left" w:pos="851"/>
        </w:tabs>
        <w:spacing w:line="360" w:lineRule="auto"/>
        <w:ind w:left="0" w:firstLine="851"/>
        <w:contextualSpacing/>
        <w:jc w:val="both"/>
        <w:rPr>
          <w:rFonts w:ascii="Times New Roman" w:eastAsia="Calibri" w:hAnsi="Times New Roman"/>
          <w:sz w:val="24"/>
          <w:szCs w:val="24"/>
        </w:rPr>
      </w:pPr>
      <w:r w:rsidRPr="003C674D">
        <w:rPr>
          <w:rFonts w:ascii="Times New Roman" w:eastAsia="Calibri" w:hAnsi="Times New Roman"/>
          <w:sz w:val="24"/>
          <w:szCs w:val="24"/>
        </w:rPr>
        <w:t>Programos uždaviniai:</w:t>
      </w:r>
    </w:p>
    <w:p w14:paraId="5B6B67CE" w14:textId="77777777" w:rsidR="003C674D" w:rsidRPr="003C674D" w:rsidRDefault="003C674D">
      <w:pPr>
        <w:numPr>
          <w:ilvl w:val="1"/>
          <w:numId w:val="1"/>
        </w:numPr>
        <w:tabs>
          <w:tab w:val="left" w:pos="567"/>
          <w:tab w:val="left" w:pos="851"/>
        </w:tabs>
        <w:spacing w:line="360" w:lineRule="auto"/>
        <w:ind w:left="0" w:firstLine="851"/>
        <w:contextualSpacing/>
        <w:jc w:val="both"/>
        <w:rPr>
          <w:rFonts w:ascii="Times New Roman" w:eastAsia="Calibri" w:hAnsi="Times New Roman"/>
          <w:sz w:val="24"/>
          <w:szCs w:val="24"/>
        </w:rPr>
      </w:pPr>
      <w:r w:rsidRPr="003C674D">
        <w:rPr>
          <w:rFonts w:ascii="Times New Roman" w:eastAsia="Calibri" w:hAnsi="Times New Roman"/>
          <w:sz w:val="24"/>
          <w:szCs w:val="24"/>
        </w:rPr>
        <w:t>didinti Kauno rajono savivaldybės gyventojų užimtumą, organizuojant socialinę atskirtį patiriančių asmenų integraciją į visuomenę ir darbo rinką;</w:t>
      </w:r>
    </w:p>
    <w:p w14:paraId="427A3B21" w14:textId="77777777" w:rsidR="003C674D" w:rsidRPr="003C674D" w:rsidRDefault="003C674D">
      <w:pPr>
        <w:numPr>
          <w:ilvl w:val="1"/>
          <w:numId w:val="1"/>
        </w:numPr>
        <w:tabs>
          <w:tab w:val="left" w:pos="567"/>
          <w:tab w:val="left" w:pos="851"/>
        </w:tabs>
        <w:spacing w:line="360" w:lineRule="auto"/>
        <w:ind w:left="0" w:firstLine="851"/>
        <w:contextualSpacing/>
        <w:jc w:val="both"/>
        <w:rPr>
          <w:rFonts w:ascii="Times New Roman" w:eastAsia="Calibri" w:hAnsi="Times New Roman"/>
          <w:sz w:val="24"/>
          <w:szCs w:val="24"/>
        </w:rPr>
      </w:pPr>
      <w:r w:rsidRPr="003C674D">
        <w:rPr>
          <w:rFonts w:ascii="Times New Roman" w:eastAsia="Calibri" w:hAnsi="Times New Roman"/>
          <w:sz w:val="24"/>
          <w:szCs w:val="24"/>
        </w:rPr>
        <w:t>teikti paslaugas ir įgyvendinti priemones, atsižvelgiant į tikslinės grupės įsidarbinimo problemų sprendimo poreikius.</w:t>
      </w:r>
    </w:p>
    <w:p w14:paraId="663B2D0A" w14:textId="77777777" w:rsidR="003C674D" w:rsidRPr="003C674D" w:rsidRDefault="003C674D" w:rsidP="003C674D">
      <w:pPr>
        <w:tabs>
          <w:tab w:val="left" w:pos="567"/>
          <w:tab w:val="left" w:pos="851"/>
        </w:tabs>
        <w:spacing w:line="360" w:lineRule="auto"/>
        <w:jc w:val="both"/>
        <w:rPr>
          <w:rFonts w:ascii="Times New Roman" w:eastAsia="Calibri" w:hAnsi="Times New Roman"/>
          <w:sz w:val="24"/>
          <w:szCs w:val="24"/>
          <w:highlight w:val="yellow"/>
        </w:rPr>
      </w:pPr>
    </w:p>
    <w:p w14:paraId="073BC07D" w14:textId="77777777" w:rsidR="003C674D" w:rsidRPr="003C674D" w:rsidRDefault="003C674D" w:rsidP="003C674D">
      <w:pPr>
        <w:tabs>
          <w:tab w:val="left" w:pos="935"/>
        </w:tabs>
        <w:ind w:firstLine="851"/>
        <w:jc w:val="center"/>
        <w:rPr>
          <w:rFonts w:ascii="Times New Roman" w:eastAsia="Calibri" w:hAnsi="Times New Roman"/>
          <w:b/>
          <w:bCs/>
          <w:sz w:val="24"/>
          <w:szCs w:val="24"/>
          <w:lang w:eastAsia="en-US"/>
        </w:rPr>
      </w:pPr>
    </w:p>
    <w:p w14:paraId="1A542573" w14:textId="77777777" w:rsidR="003C674D" w:rsidRPr="003C674D" w:rsidRDefault="003C674D" w:rsidP="003C674D">
      <w:pPr>
        <w:tabs>
          <w:tab w:val="left" w:pos="935"/>
        </w:tabs>
        <w:ind w:firstLine="851"/>
        <w:jc w:val="center"/>
        <w:rPr>
          <w:rFonts w:ascii="Times New Roman" w:eastAsia="Calibri" w:hAnsi="Times New Roman"/>
          <w:b/>
          <w:bCs/>
          <w:sz w:val="24"/>
          <w:szCs w:val="24"/>
          <w:lang w:eastAsia="en-US"/>
        </w:rPr>
      </w:pPr>
    </w:p>
    <w:p w14:paraId="292D5C6F" w14:textId="77777777" w:rsidR="003C674D" w:rsidRPr="003C674D" w:rsidRDefault="003C674D" w:rsidP="003C674D">
      <w:pPr>
        <w:tabs>
          <w:tab w:val="left" w:pos="935"/>
        </w:tabs>
        <w:ind w:firstLine="851"/>
        <w:jc w:val="center"/>
        <w:rPr>
          <w:rFonts w:ascii="Times New Roman" w:eastAsia="Calibri" w:hAnsi="Times New Roman"/>
          <w:b/>
          <w:bCs/>
          <w:sz w:val="24"/>
          <w:szCs w:val="24"/>
          <w:lang w:eastAsia="en-US"/>
        </w:rPr>
      </w:pPr>
      <w:r w:rsidRPr="003C674D">
        <w:rPr>
          <w:rFonts w:ascii="Times New Roman" w:eastAsia="Calibri" w:hAnsi="Times New Roman"/>
          <w:b/>
          <w:bCs/>
          <w:sz w:val="24"/>
          <w:szCs w:val="24"/>
          <w:lang w:eastAsia="en-US"/>
        </w:rPr>
        <w:lastRenderedPageBreak/>
        <w:t>II SKYRIUS</w:t>
      </w:r>
    </w:p>
    <w:p w14:paraId="4C3FD5E1" w14:textId="77777777" w:rsidR="003C674D" w:rsidRPr="003C674D" w:rsidRDefault="003C674D" w:rsidP="003C674D">
      <w:pPr>
        <w:tabs>
          <w:tab w:val="left" w:pos="935"/>
        </w:tabs>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BŪKLĖS ANALIZĖ</w:t>
      </w:r>
    </w:p>
    <w:p w14:paraId="47FD047C" w14:textId="77777777" w:rsidR="003C674D" w:rsidRPr="003C674D" w:rsidRDefault="003C674D" w:rsidP="003C674D">
      <w:pPr>
        <w:tabs>
          <w:tab w:val="left" w:pos="935"/>
        </w:tabs>
        <w:spacing w:line="360" w:lineRule="auto"/>
        <w:jc w:val="both"/>
        <w:rPr>
          <w:rFonts w:ascii="Times New Roman" w:eastAsia="Calibri" w:hAnsi="Times New Roman"/>
          <w:sz w:val="24"/>
          <w:szCs w:val="24"/>
          <w:lang w:eastAsia="en-US"/>
        </w:rPr>
      </w:pPr>
    </w:p>
    <w:p w14:paraId="50A1EA87" w14:textId="77777777" w:rsidR="003C674D" w:rsidRPr="003C674D" w:rsidRDefault="003C674D">
      <w:pPr>
        <w:numPr>
          <w:ilvl w:val="0"/>
          <w:numId w:val="1"/>
        </w:numPr>
        <w:tabs>
          <w:tab w:val="left" w:pos="935"/>
        </w:tabs>
        <w:spacing w:line="360" w:lineRule="auto"/>
        <w:ind w:left="0" w:firstLine="851"/>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 xml:space="preserve">Kauno rajonas </w:t>
      </w:r>
      <w:r w:rsidRPr="003C674D">
        <w:rPr>
          <w:rFonts w:ascii="Times New Roman" w:eastAsia="Calibri" w:hAnsi="Times New Roman"/>
          <w:b/>
          <w:bCs/>
          <w:sz w:val="24"/>
          <w:szCs w:val="24"/>
          <w:lang w:eastAsia="en-US"/>
        </w:rPr>
        <w:t>–</w:t>
      </w:r>
      <w:r w:rsidRPr="003C674D">
        <w:rPr>
          <w:rFonts w:ascii="Times New Roman" w:eastAsia="Calibri" w:hAnsi="Times New Roman"/>
          <w:sz w:val="24"/>
          <w:szCs w:val="24"/>
          <w:lang w:eastAsia="en-US"/>
        </w:rPr>
        <w:t xml:space="preserve"> vienas didžiausių ir tankiausiai apgyvendintų rajonų šalyje. Jo plotas – 149,60 tūkst. ha. Kauno rajonas žiedu juosia vieną didžiausių Lietuvos </w:t>
      </w:r>
      <w:r w:rsidRPr="003C674D">
        <w:rPr>
          <w:rFonts w:ascii="Times New Roman" w:eastAsia="Calibri" w:hAnsi="Times New Roman"/>
          <w:sz w:val="24"/>
          <w:szCs w:val="24"/>
          <w:lang w:eastAsia="en-US"/>
        </w:rPr>
        <w:br/>
        <w:t xml:space="preserve">miestų – Kauną. </w:t>
      </w:r>
    </w:p>
    <w:p w14:paraId="6EAF22F1" w14:textId="77777777" w:rsidR="003C674D" w:rsidRPr="003C674D" w:rsidRDefault="003C674D">
      <w:pPr>
        <w:numPr>
          <w:ilvl w:val="0"/>
          <w:numId w:val="1"/>
        </w:numPr>
        <w:tabs>
          <w:tab w:val="left" w:pos="935"/>
        </w:tabs>
        <w:spacing w:line="360" w:lineRule="auto"/>
        <w:ind w:left="0" w:firstLine="851"/>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 xml:space="preserve">Kauno rajone yra 25 seniūnijos, 371 kaimas, 9 miesteliai ir 3 miestai. </w:t>
      </w:r>
    </w:p>
    <w:p w14:paraId="4FDC78F4" w14:textId="77777777" w:rsidR="003C674D" w:rsidRPr="003C674D" w:rsidRDefault="003C674D">
      <w:pPr>
        <w:numPr>
          <w:ilvl w:val="0"/>
          <w:numId w:val="1"/>
        </w:numPr>
        <w:tabs>
          <w:tab w:val="left" w:pos="935"/>
        </w:tabs>
        <w:spacing w:line="360" w:lineRule="auto"/>
        <w:ind w:left="0" w:firstLine="851"/>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 xml:space="preserve">Kauno rajonas – viena iš nedaugelio savivaldybių, kurioje gyventojų skaičius auga. Registrų centro duomenimis: 2025 m. sausio 1 d. bendras gyventojų skaičius </w:t>
      </w:r>
      <w:r w:rsidRPr="003C674D">
        <w:rPr>
          <w:rFonts w:ascii="Times New Roman" w:eastAsia="Calibri" w:hAnsi="Times New Roman"/>
          <w:color w:val="000000" w:themeColor="text1"/>
          <w:sz w:val="24"/>
          <w:szCs w:val="24"/>
          <w:lang w:eastAsia="en-US"/>
        </w:rPr>
        <w:t>– 117 649</w:t>
      </w:r>
      <w:r w:rsidRPr="003C674D">
        <w:rPr>
          <w:rFonts w:ascii="Times New Roman" w:eastAsia="Calibri" w:hAnsi="Times New Roman"/>
          <w:sz w:val="24"/>
          <w:szCs w:val="24"/>
          <w:lang w:eastAsia="en-US"/>
        </w:rPr>
        <w:t xml:space="preserve">, t. y. </w:t>
      </w:r>
      <w:r w:rsidRPr="003C674D">
        <w:rPr>
          <w:rFonts w:ascii="Times New Roman" w:eastAsia="Calibri" w:hAnsi="Times New Roman"/>
          <w:color w:val="000000" w:themeColor="text1"/>
          <w:sz w:val="24"/>
          <w:szCs w:val="24"/>
          <w:lang w:eastAsia="en-US"/>
        </w:rPr>
        <w:t xml:space="preserve">2512 asmenimis daugiau nei 2024 m. tuo pačiu laikotarpiu. Pagal gyventojų skaičių, Kauno rajono savivaldybė užima antrą vietą tarp Kauno apskrities savivaldybių. </w:t>
      </w:r>
    </w:p>
    <w:p w14:paraId="5818F6CA" w14:textId="77777777" w:rsidR="003C674D" w:rsidRPr="003C674D" w:rsidRDefault="003C674D">
      <w:pPr>
        <w:numPr>
          <w:ilvl w:val="0"/>
          <w:numId w:val="1"/>
        </w:numPr>
        <w:tabs>
          <w:tab w:val="left" w:pos="935"/>
        </w:tabs>
        <w:spacing w:line="360" w:lineRule="auto"/>
        <w:ind w:left="0" w:firstLine="851"/>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Užimtumo tarnybos prie Lietuvos Respublikos socialinės apsaugos ir darbo ministerijos duomenimis 2025 m. sausio 1 d. registruotas nedarbas šalyje siekė 9,0 %, registruota 163,6 tūkst. bedarbių (2024 m. – 162,0 tūkst.), Kauno rajono registruoto nedarbo rodiklis – 8,5 % (2024 m. – 9,4 %).</w:t>
      </w:r>
    </w:p>
    <w:p w14:paraId="50C08E88" w14:textId="77777777" w:rsidR="003C674D" w:rsidRPr="003C674D" w:rsidRDefault="003C674D">
      <w:pPr>
        <w:numPr>
          <w:ilvl w:val="0"/>
          <w:numId w:val="1"/>
        </w:numPr>
        <w:tabs>
          <w:tab w:val="left" w:pos="851"/>
        </w:tabs>
        <w:spacing w:line="360" w:lineRule="auto"/>
        <w:ind w:left="0" w:firstLine="851"/>
        <w:contextualSpacing/>
        <w:jc w:val="both"/>
        <w:rPr>
          <w:rFonts w:ascii="Times New Roman" w:hAnsi="Times New Roman"/>
          <w:color w:val="000000"/>
          <w:sz w:val="24"/>
          <w:szCs w:val="24"/>
        </w:rPr>
      </w:pPr>
      <w:r w:rsidRPr="003C674D">
        <w:rPr>
          <w:rFonts w:ascii="Times New Roman" w:hAnsi="Times New Roman"/>
          <w:color w:val="000000"/>
          <w:sz w:val="24"/>
          <w:szCs w:val="24"/>
        </w:rPr>
        <w:t>Kauno r. savivaldybėje registruotų bedarbių skaičius pagal seniūnijas:</w:t>
      </w:r>
    </w:p>
    <w:tbl>
      <w:tblPr>
        <w:tblStyle w:val="Lentelstinklelis"/>
        <w:tblW w:w="0" w:type="auto"/>
        <w:tblInd w:w="0" w:type="dxa"/>
        <w:tblLook w:val="04A0" w:firstRow="1" w:lastRow="0" w:firstColumn="1" w:lastColumn="0" w:noHBand="0" w:noVBand="1"/>
      </w:tblPr>
      <w:tblGrid>
        <w:gridCol w:w="2405"/>
        <w:gridCol w:w="2125"/>
        <w:gridCol w:w="2265"/>
        <w:gridCol w:w="2266"/>
      </w:tblGrid>
      <w:tr w:rsidR="003C674D" w:rsidRPr="003C674D" w14:paraId="7EB3F67D" w14:textId="77777777" w:rsidTr="00655B79">
        <w:trPr>
          <w:trHeight w:val="711"/>
        </w:trPr>
        <w:tc>
          <w:tcPr>
            <w:tcW w:w="2405" w:type="dxa"/>
            <w:shd w:val="clear" w:color="auto" w:fill="E7E6E6" w:themeFill="background2"/>
          </w:tcPr>
          <w:p w14:paraId="0628C78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Kauno r. sav.</w:t>
            </w:r>
          </w:p>
          <w:p w14:paraId="657A805E"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seniūnijos</w:t>
            </w:r>
          </w:p>
        </w:tc>
        <w:tc>
          <w:tcPr>
            <w:tcW w:w="2125" w:type="dxa"/>
            <w:shd w:val="clear" w:color="auto" w:fill="E7E6E6" w:themeFill="background2"/>
          </w:tcPr>
          <w:p w14:paraId="279B948E"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2024-01-01 d. registruota darbo ieškančių asmenų</w:t>
            </w:r>
          </w:p>
        </w:tc>
        <w:tc>
          <w:tcPr>
            <w:tcW w:w="2265" w:type="dxa"/>
            <w:shd w:val="clear" w:color="auto" w:fill="E7E6E6" w:themeFill="background2"/>
          </w:tcPr>
          <w:p w14:paraId="169ECF7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2025-01-01 d. registruota darbo ieškančių asmenų</w:t>
            </w:r>
          </w:p>
        </w:tc>
        <w:tc>
          <w:tcPr>
            <w:tcW w:w="2266" w:type="dxa"/>
            <w:shd w:val="clear" w:color="auto" w:fill="E7E6E6" w:themeFill="background2"/>
          </w:tcPr>
          <w:p w14:paraId="658A1E2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Pokytis nuo metų pradžios, sk.</w:t>
            </w:r>
          </w:p>
        </w:tc>
      </w:tr>
      <w:tr w:rsidR="003C674D" w:rsidRPr="003C674D" w14:paraId="03A10816" w14:textId="77777777" w:rsidTr="00655B79">
        <w:trPr>
          <w:trHeight w:val="317"/>
        </w:trPr>
        <w:tc>
          <w:tcPr>
            <w:tcW w:w="2405" w:type="dxa"/>
            <w:vAlign w:val="center"/>
          </w:tcPr>
          <w:p w14:paraId="59041351"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Akademijos</w:t>
            </w:r>
          </w:p>
        </w:tc>
        <w:tc>
          <w:tcPr>
            <w:tcW w:w="2125" w:type="dxa"/>
          </w:tcPr>
          <w:p w14:paraId="0C65F8A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136</w:t>
            </w:r>
          </w:p>
        </w:tc>
        <w:tc>
          <w:tcPr>
            <w:tcW w:w="2265" w:type="dxa"/>
          </w:tcPr>
          <w:p w14:paraId="3F00B33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132</w:t>
            </w:r>
          </w:p>
        </w:tc>
        <w:tc>
          <w:tcPr>
            <w:tcW w:w="2266" w:type="dxa"/>
          </w:tcPr>
          <w:p w14:paraId="18E77C87"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w:t>
            </w:r>
          </w:p>
        </w:tc>
      </w:tr>
      <w:tr w:rsidR="003C674D" w:rsidRPr="003C674D" w14:paraId="2D10F334" w14:textId="77777777" w:rsidTr="00655B79">
        <w:trPr>
          <w:trHeight w:val="302"/>
        </w:trPr>
        <w:tc>
          <w:tcPr>
            <w:tcW w:w="2405" w:type="dxa"/>
            <w:vAlign w:val="center"/>
          </w:tcPr>
          <w:p w14:paraId="53BFDA94"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Alšėnų</w:t>
            </w:r>
          </w:p>
        </w:tc>
        <w:tc>
          <w:tcPr>
            <w:tcW w:w="2125" w:type="dxa"/>
          </w:tcPr>
          <w:p w14:paraId="02314E84"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240</w:t>
            </w:r>
          </w:p>
        </w:tc>
        <w:tc>
          <w:tcPr>
            <w:tcW w:w="2265" w:type="dxa"/>
          </w:tcPr>
          <w:p w14:paraId="389DBCE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266</w:t>
            </w:r>
          </w:p>
        </w:tc>
        <w:tc>
          <w:tcPr>
            <w:tcW w:w="2266" w:type="dxa"/>
          </w:tcPr>
          <w:p w14:paraId="16649E1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26</w:t>
            </w:r>
          </w:p>
        </w:tc>
      </w:tr>
      <w:tr w:rsidR="003C674D" w:rsidRPr="003C674D" w14:paraId="035E74EE" w14:textId="77777777" w:rsidTr="00655B79">
        <w:tc>
          <w:tcPr>
            <w:tcW w:w="2405" w:type="dxa"/>
            <w:vAlign w:val="center"/>
          </w:tcPr>
          <w:p w14:paraId="7E4EE37C"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Babtų</w:t>
            </w:r>
          </w:p>
        </w:tc>
        <w:tc>
          <w:tcPr>
            <w:tcW w:w="2125" w:type="dxa"/>
          </w:tcPr>
          <w:p w14:paraId="337A04D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230</w:t>
            </w:r>
          </w:p>
        </w:tc>
        <w:tc>
          <w:tcPr>
            <w:tcW w:w="2265" w:type="dxa"/>
          </w:tcPr>
          <w:p w14:paraId="6B1831B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250</w:t>
            </w:r>
          </w:p>
        </w:tc>
        <w:tc>
          <w:tcPr>
            <w:tcW w:w="2266" w:type="dxa"/>
          </w:tcPr>
          <w:p w14:paraId="1A3877F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20</w:t>
            </w:r>
          </w:p>
        </w:tc>
      </w:tr>
      <w:tr w:rsidR="003C674D" w:rsidRPr="003C674D" w14:paraId="6F422080" w14:textId="77777777" w:rsidTr="00655B79">
        <w:tc>
          <w:tcPr>
            <w:tcW w:w="2405" w:type="dxa"/>
            <w:vAlign w:val="center"/>
          </w:tcPr>
          <w:p w14:paraId="59B88528"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Batniavos</w:t>
            </w:r>
          </w:p>
        </w:tc>
        <w:tc>
          <w:tcPr>
            <w:tcW w:w="2125" w:type="dxa"/>
          </w:tcPr>
          <w:p w14:paraId="16D9404D"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95</w:t>
            </w:r>
          </w:p>
        </w:tc>
        <w:tc>
          <w:tcPr>
            <w:tcW w:w="2265" w:type="dxa"/>
          </w:tcPr>
          <w:p w14:paraId="27848B9D"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88</w:t>
            </w:r>
          </w:p>
        </w:tc>
        <w:tc>
          <w:tcPr>
            <w:tcW w:w="2266" w:type="dxa"/>
          </w:tcPr>
          <w:p w14:paraId="22ECBE0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-7</w:t>
            </w:r>
          </w:p>
        </w:tc>
      </w:tr>
      <w:tr w:rsidR="003C674D" w:rsidRPr="003C674D" w14:paraId="0CE3EF83" w14:textId="77777777" w:rsidTr="00655B79">
        <w:tc>
          <w:tcPr>
            <w:tcW w:w="2405" w:type="dxa"/>
            <w:vAlign w:val="center"/>
          </w:tcPr>
          <w:p w14:paraId="56E5BD2B"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Čekiškės</w:t>
            </w:r>
          </w:p>
        </w:tc>
        <w:tc>
          <w:tcPr>
            <w:tcW w:w="2125" w:type="dxa"/>
          </w:tcPr>
          <w:p w14:paraId="4696FF6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137</w:t>
            </w:r>
          </w:p>
        </w:tc>
        <w:tc>
          <w:tcPr>
            <w:tcW w:w="2265" w:type="dxa"/>
          </w:tcPr>
          <w:p w14:paraId="29D0D1A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121</w:t>
            </w:r>
          </w:p>
        </w:tc>
        <w:tc>
          <w:tcPr>
            <w:tcW w:w="2266" w:type="dxa"/>
          </w:tcPr>
          <w:p w14:paraId="4B07FF8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-16</w:t>
            </w:r>
          </w:p>
        </w:tc>
      </w:tr>
      <w:tr w:rsidR="003C674D" w:rsidRPr="003C674D" w14:paraId="5D420110" w14:textId="77777777" w:rsidTr="00655B79">
        <w:tc>
          <w:tcPr>
            <w:tcW w:w="2405" w:type="dxa"/>
            <w:vAlign w:val="center"/>
          </w:tcPr>
          <w:p w14:paraId="1F6830E9"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Domeikavos</w:t>
            </w:r>
          </w:p>
        </w:tc>
        <w:tc>
          <w:tcPr>
            <w:tcW w:w="2125" w:type="dxa"/>
          </w:tcPr>
          <w:p w14:paraId="7B29169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591</w:t>
            </w:r>
          </w:p>
        </w:tc>
        <w:tc>
          <w:tcPr>
            <w:tcW w:w="2265" w:type="dxa"/>
          </w:tcPr>
          <w:p w14:paraId="72545E51"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579</w:t>
            </w:r>
          </w:p>
        </w:tc>
        <w:tc>
          <w:tcPr>
            <w:tcW w:w="2266" w:type="dxa"/>
          </w:tcPr>
          <w:p w14:paraId="29B343E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-12</w:t>
            </w:r>
          </w:p>
        </w:tc>
      </w:tr>
      <w:tr w:rsidR="003C674D" w:rsidRPr="003C674D" w14:paraId="350A4036" w14:textId="77777777" w:rsidTr="00655B79">
        <w:tc>
          <w:tcPr>
            <w:tcW w:w="2405" w:type="dxa"/>
            <w:vAlign w:val="center"/>
          </w:tcPr>
          <w:p w14:paraId="482FA977"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Ežerėlio</w:t>
            </w:r>
          </w:p>
        </w:tc>
        <w:tc>
          <w:tcPr>
            <w:tcW w:w="2125" w:type="dxa"/>
          </w:tcPr>
          <w:p w14:paraId="67850E3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109</w:t>
            </w:r>
          </w:p>
        </w:tc>
        <w:tc>
          <w:tcPr>
            <w:tcW w:w="2265" w:type="dxa"/>
          </w:tcPr>
          <w:p w14:paraId="767F924C"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96</w:t>
            </w:r>
          </w:p>
        </w:tc>
        <w:tc>
          <w:tcPr>
            <w:tcW w:w="2266" w:type="dxa"/>
          </w:tcPr>
          <w:p w14:paraId="171C558A"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w:t>
            </w:r>
          </w:p>
        </w:tc>
      </w:tr>
      <w:tr w:rsidR="003C674D" w:rsidRPr="003C674D" w14:paraId="5605D26B" w14:textId="77777777" w:rsidTr="00655B79">
        <w:tc>
          <w:tcPr>
            <w:tcW w:w="2405" w:type="dxa"/>
            <w:vAlign w:val="center"/>
          </w:tcPr>
          <w:p w14:paraId="654E307B"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Garliavos</w:t>
            </w:r>
          </w:p>
        </w:tc>
        <w:tc>
          <w:tcPr>
            <w:tcW w:w="2125" w:type="dxa"/>
          </w:tcPr>
          <w:p w14:paraId="03A6C8DC"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651</w:t>
            </w:r>
          </w:p>
        </w:tc>
        <w:tc>
          <w:tcPr>
            <w:tcW w:w="2265" w:type="dxa"/>
          </w:tcPr>
          <w:p w14:paraId="3074622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594</w:t>
            </w:r>
          </w:p>
        </w:tc>
        <w:tc>
          <w:tcPr>
            <w:tcW w:w="2266" w:type="dxa"/>
          </w:tcPr>
          <w:p w14:paraId="7BE6883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-57</w:t>
            </w:r>
          </w:p>
        </w:tc>
      </w:tr>
      <w:tr w:rsidR="003C674D" w:rsidRPr="003C674D" w14:paraId="12893F5E" w14:textId="77777777" w:rsidTr="00655B79">
        <w:tc>
          <w:tcPr>
            <w:tcW w:w="2405" w:type="dxa"/>
            <w:vAlign w:val="center"/>
          </w:tcPr>
          <w:p w14:paraId="386644B0"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Garliavos apyl.</w:t>
            </w:r>
          </w:p>
        </w:tc>
        <w:tc>
          <w:tcPr>
            <w:tcW w:w="2125" w:type="dxa"/>
          </w:tcPr>
          <w:p w14:paraId="4665EA6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481</w:t>
            </w:r>
          </w:p>
        </w:tc>
        <w:tc>
          <w:tcPr>
            <w:tcW w:w="2265" w:type="dxa"/>
          </w:tcPr>
          <w:p w14:paraId="4EDE62C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477</w:t>
            </w:r>
          </w:p>
        </w:tc>
        <w:tc>
          <w:tcPr>
            <w:tcW w:w="2266" w:type="dxa"/>
          </w:tcPr>
          <w:p w14:paraId="44808C0A"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w:t>
            </w:r>
          </w:p>
        </w:tc>
      </w:tr>
      <w:tr w:rsidR="003C674D" w:rsidRPr="003C674D" w14:paraId="2F9FD1AD" w14:textId="77777777" w:rsidTr="00655B79">
        <w:tc>
          <w:tcPr>
            <w:tcW w:w="2405" w:type="dxa"/>
            <w:vAlign w:val="center"/>
          </w:tcPr>
          <w:p w14:paraId="3650A38F"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Kačerginės</w:t>
            </w:r>
          </w:p>
        </w:tc>
        <w:tc>
          <w:tcPr>
            <w:tcW w:w="2125" w:type="dxa"/>
          </w:tcPr>
          <w:p w14:paraId="4E9F777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26</w:t>
            </w:r>
          </w:p>
        </w:tc>
        <w:tc>
          <w:tcPr>
            <w:tcW w:w="2265" w:type="dxa"/>
          </w:tcPr>
          <w:p w14:paraId="56B629BA"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28</w:t>
            </w:r>
          </w:p>
        </w:tc>
        <w:tc>
          <w:tcPr>
            <w:tcW w:w="2266" w:type="dxa"/>
          </w:tcPr>
          <w:p w14:paraId="256BB231"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w:t>
            </w:r>
          </w:p>
        </w:tc>
      </w:tr>
      <w:tr w:rsidR="003C674D" w:rsidRPr="003C674D" w14:paraId="29FDF947" w14:textId="77777777" w:rsidTr="00655B79">
        <w:tc>
          <w:tcPr>
            <w:tcW w:w="2405" w:type="dxa"/>
            <w:vAlign w:val="center"/>
          </w:tcPr>
          <w:p w14:paraId="213BA574"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Karmėlavos</w:t>
            </w:r>
          </w:p>
        </w:tc>
        <w:tc>
          <w:tcPr>
            <w:tcW w:w="2125" w:type="dxa"/>
          </w:tcPr>
          <w:p w14:paraId="0847112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390</w:t>
            </w:r>
          </w:p>
        </w:tc>
        <w:tc>
          <w:tcPr>
            <w:tcW w:w="2265" w:type="dxa"/>
          </w:tcPr>
          <w:p w14:paraId="296AFAD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368</w:t>
            </w:r>
          </w:p>
        </w:tc>
        <w:tc>
          <w:tcPr>
            <w:tcW w:w="2266" w:type="dxa"/>
          </w:tcPr>
          <w:p w14:paraId="0825B784"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-22</w:t>
            </w:r>
          </w:p>
        </w:tc>
      </w:tr>
      <w:tr w:rsidR="003C674D" w:rsidRPr="003C674D" w14:paraId="6A63CF48" w14:textId="77777777" w:rsidTr="00655B79">
        <w:tc>
          <w:tcPr>
            <w:tcW w:w="2405" w:type="dxa"/>
            <w:vAlign w:val="center"/>
          </w:tcPr>
          <w:p w14:paraId="0F50E6B9"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Kulautuvos</w:t>
            </w:r>
          </w:p>
        </w:tc>
        <w:tc>
          <w:tcPr>
            <w:tcW w:w="2125" w:type="dxa"/>
          </w:tcPr>
          <w:p w14:paraId="2DAFF71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83</w:t>
            </w:r>
          </w:p>
        </w:tc>
        <w:tc>
          <w:tcPr>
            <w:tcW w:w="2265" w:type="dxa"/>
          </w:tcPr>
          <w:p w14:paraId="52A6E374"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70</w:t>
            </w:r>
          </w:p>
        </w:tc>
        <w:tc>
          <w:tcPr>
            <w:tcW w:w="2266" w:type="dxa"/>
          </w:tcPr>
          <w:p w14:paraId="6770B88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w:t>
            </w:r>
          </w:p>
        </w:tc>
      </w:tr>
      <w:tr w:rsidR="003C674D" w:rsidRPr="003C674D" w14:paraId="6BA6FE2F" w14:textId="77777777" w:rsidTr="00655B79">
        <w:tc>
          <w:tcPr>
            <w:tcW w:w="2405" w:type="dxa"/>
            <w:vAlign w:val="center"/>
          </w:tcPr>
          <w:p w14:paraId="1213FEDC"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Lapių</w:t>
            </w:r>
          </w:p>
        </w:tc>
        <w:tc>
          <w:tcPr>
            <w:tcW w:w="2125" w:type="dxa"/>
          </w:tcPr>
          <w:p w14:paraId="2425018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257</w:t>
            </w:r>
          </w:p>
        </w:tc>
        <w:tc>
          <w:tcPr>
            <w:tcW w:w="2265" w:type="dxa"/>
          </w:tcPr>
          <w:p w14:paraId="3AB7ABEC"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246</w:t>
            </w:r>
          </w:p>
        </w:tc>
        <w:tc>
          <w:tcPr>
            <w:tcW w:w="2266" w:type="dxa"/>
          </w:tcPr>
          <w:p w14:paraId="334B5274"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-11</w:t>
            </w:r>
          </w:p>
        </w:tc>
      </w:tr>
      <w:tr w:rsidR="003C674D" w:rsidRPr="003C674D" w14:paraId="19C010BA" w14:textId="77777777" w:rsidTr="00655B79">
        <w:tc>
          <w:tcPr>
            <w:tcW w:w="2405" w:type="dxa"/>
            <w:vAlign w:val="center"/>
          </w:tcPr>
          <w:p w14:paraId="00724D4F"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Linksmakalnio</w:t>
            </w:r>
          </w:p>
        </w:tc>
        <w:tc>
          <w:tcPr>
            <w:tcW w:w="2125" w:type="dxa"/>
          </w:tcPr>
          <w:p w14:paraId="3C0C897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40</w:t>
            </w:r>
          </w:p>
        </w:tc>
        <w:tc>
          <w:tcPr>
            <w:tcW w:w="2265" w:type="dxa"/>
          </w:tcPr>
          <w:p w14:paraId="48029C2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44</w:t>
            </w:r>
          </w:p>
        </w:tc>
        <w:tc>
          <w:tcPr>
            <w:tcW w:w="2266" w:type="dxa"/>
          </w:tcPr>
          <w:p w14:paraId="272D8E7D"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w:t>
            </w:r>
          </w:p>
        </w:tc>
      </w:tr>
      <w:tr w:rsidR="003C674D" w:rsidRPr="003C674D" w14:paraId="4A67C423" w14:textId="77777777" w:rsidTr="00655B79">
        <w:tc>
          <w:tcPr>
            <w:tcW w:w="2405" w:type="dxa"/>
            <w:vAlign w:val="center"/>
          </w:tcPr>
          <w:p w14:paraId="784E75B3"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Neveronių</w:t>
            </w:r>
          </w:p>
        </w:tc>
        <w:tc>
          <w:tcPr>
            <w:tcW w:w="2125" w:type="dxa"/>
          </w:tcPr>
          <w:p w14:paraId="750654D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223</w:t>
            </w:r>
          </w:p>
        </w:tc>
        <w:tc>
          <w:tcPr>
            <w:tcW w:w="2265" w:type="dxa"/>
          </w:tcPr>
          <w:p w14:paraId="0EF12C2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194</w:t>
            </w:r>
          </w:p>
        </w:tc>
        <w:tc>
          <w:tcPr>
            <w:tcW w:w="2266" w:type="dxa"/>
          </w:tcPr>
          <w:p w14:paraId="55376D4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-29</w:t>
            </w:r>
          </w:p>
        </w:tc>
      </w:tr>
      <w:tr w:rsidR="003C674D" w:rsidRPr="003C674D" w14:paraId="54A620FD" w14:textId="77777777" w:rsidTr="00655B79">
        <w:tc>
          <w:tcPr>
            <w:tcW w:w="2405" w:type="dxa"/>
            <w:vAlign w:val="center"/>
          </w:tcPr>
          <w:p w14:paraId="09DC44EA"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Raudondvario</w:t>
            </w:r>
          </w:p>
        </w:tc>
        <w:tc>
          <w:tcPr>
            <w:tcW w:w="2125" w:type="dxa"/>
          </w:tcPr>
          <w:p w14:paraId="624C827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316</w:t>
            </w:r>
          </w:p>
        </w:tc>
        <w:tc>
          <w:tcPr>
            <w:tcW w:w="2265" w:type="dxa"/>
          </w:tcPr>
          <w:p w14:paraId="2C354D8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336</w:t>
            </w:r>
          </w:p>
        </w:tc>
        <w:tc>
          <w:tcPr>
            <w:tcW w:w="2266" w:type="dxa"/>
          </w:tcPr>
          <w:p w14:paraId="13EBB5B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20</w:t>
            </w:r>
          </w:p>
        </w:tc>
      </w:tr>
      <w:tr w:rsidR="003C674D" w:rsidRPr="003C674D" w14:paraId="552A8D85" w14:textId="77777777" w:rsidTr="00655B79">
        <w:tc>
          <w:tcPr>
            <w:tcW w:w="2405" w:type="dxa"/>
            <w:vAlign w:val="center"/>
          </w:tcPr>
          <w:p w14:paraId="044C7403"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Ringaudų</w:t>
            </w:r>
          </w:p>
        </w:tc>
        <w:tc>
          <w:tcPr>
            <w:tcW w:w="2125" w:type="dxa"/>
          </w:tcPr>
          <w:p w14:paraId="040B525D"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421</w:t>
            </w:r>
          </w:p>
        </w:tc>
        <w:tc>
          <w:tcPr>
            <w:tcW w:w="2265" w:type="dxa"/>
          </w:tcPr>
          <w:p w14:paraId="416360E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396</w:t>
            </w:r>
          </w:p>
        </w:tc>
        <w:tc>
          <w:tcPr>
            <w:tcW w:w="2266" w:type="dxa"/>
          </w:tcPr>
          <w:p w14:paraId="1C892A5A"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-25</w:t>
            </w:r>
          </w:p>
        </w:tc>
      </w:tr>
      <w:tr w:rsidR="003C674D" w:rsidRPr="003C674D" w14:paraId="61355C97" w14:textId="77777777" w:rsidTr="00655B79">
        <w:tc>
          <w:tcPr>
            <w:tcW w:w="2405" w:type="dxa"/>
            <w:vAlign w:val="center"/>
          </w:tcPr>
          <w:p w14:paraId="5C840473"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Rokų</w:t>
            </w:r>
          </w:p>
        </w:tc>
        <w:tc>
          <w:tcPr>
            <w:tcW w:w="2125" w:type="dxa"/>
          </w:tcPr>
          <w:p w14:paraId="4FABA78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71</w:t>
            </w:r>
          </w:p>
        </w:tc>
        <w:tc>
          <w:tcPr>
            <w:tcW w:w="2265" w:type="dxa"/>
          </w:tcPr>
          <w:p w14:paraId="0746307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66</w:t>
            </w:r>
          </w:p>
        </w:tc>
        <w:tc>
          <w:tcPr>
            <w:tcW w:w="2266" w:type="dxa"/>
          </w:tcPr>
          <w:p w14:paraId="2ABE4A4E"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-5</w:t>
            </w:r>
          </w:p>
        </w:tc>
      </w:tr>
      <w:tr w:rsidR="003C674D" w:rsidRPr="003C674D" w14:paraId="37C1CA20" w14:textId="77777777" w:rsidTr="00655B79">
        <w:tc>
          <w:tcPr>
            <w:tcW w:w="2405" w:type="dxa"/>
            <w:vAlign w:val="center"/>
          </w:tcPr>
          <w:p w14:paraId="572DE6EB"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Samylų</w:t>
            </w:r>
          </w:p>
        </w:tc>
        <w:tc>
          <w:tcPr>
            <w:tcW w:w="2125" w:type="dxa"/>
          </w:tcPr>
          <w:p w14:paraId="1700ABF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385</w:t>
            </w:r>
          </w:p>
        </w:tc>
        <w:tc>
          <w:tcPr>
            <w:tcW w:w="2265" w:type="dxa"/>
          </w:tcPr>
          <w:p w14:paraId="0FD1564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359</w:t>
            </w:r>
          </w:p>
        </w:tc>
        <w:tc>
          <w:tcPr>
            <w:tcW w:w="2266" w:type="dxa"/>
          </w:tcPr>
          <w:p w14:paraId="6CE8BDA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-26</w:t>
            </w:r>
          </w:p>
        </w:tc>
      </w:tr>
      <w:tr w:rsidR="003C674D" w:rsidRPr="003C674D" w14:paraId="0A7CBDC2" w14:textId="77777777" w:rsidTr="00655B79">
        <w:tc>
          <w:tcPr>
            <w:tcW w:w="2405" w:type="dxa"/>
            <w:vAlign w:val="center"/>
          </w:tcPr>
          <w:p w14:paraId="207408AA"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Taurakiemio</w:t>
            </w:r>
          </w:p>
        </w:tc>
        <w:tc>
          <w:tcPr>
            <w:tcW w:w="2125" w:type="dxa"/>
          </w:tcPr>
          <w:p w14:paraId="1E7D2FD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129</w:t>
            </w:r>
          </w:p>
        </w:tc>
        <w:tc>
          <w:tcPr>
            <w:tcW w:w="2265" w:type="dxa"/>
          </w:tcPr>
          <w:p w14:paraId="43A0E28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131</w:t>
            </w:r>
          </w:p>
        </w:tc>
        <w:tc>
          <w:tcPr>
            <w:tcW w:w="2266" w:type="dxa"/>
          </w:tcPr>
          <w:p w14:paraId="0E205C2C"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w:t>
            </w:r>
          </w:p>
        </w:tc>
      </w:tr>
      <w:tr w:rsidR="003C674D" w:rsidRPr="003C674D" w14:paraId="0194D348" w14:textId="77777777" w:rsidTr="00655B79">
        <w:tc>
          <w:tcPr>
            <w:tcW w:w="2405" w:type="dxa"/>
            <w:vAlign w:val="center"/>
          </w:tcPr>
          <w:p w14:paraId="6E8870AC"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Užliedžių</w:t>
            </w:r>
          </w:p>
        </w:tc>
        <w:tc>
          <w:tcPr>
            <w:tcW w:w="2125" w:type="dxa"/>
          </w:tcPr>
          <w:p w14:paraId="0357755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447</w:t>
            </w:r>
          </w:p>
        </w:tc>
        <w:tc>
          <w:tcPr>
            <w:tcW w:w="2265" w:type="dxa"/>
          </w:tcPr>
          <w:p w14:paraId="4D3D520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496</w:t>
            </w:r>
          </w:p>
        </w:tc>
        <w:tc>
          <w:tcPr>
            <w:tcW w:w="2266" w:type="dxa"/>
          </w:tcPr>
          <w:p w14:paraId="44801AE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49</w:t>
            </w:r>
          </w:p>
        </w:tc>
      </w:tr>
      <w:tr w:rsidR="003C674D" w:rsidRPr="003C674D" w14:paraId="640096D0" w14:textId="77777777" w:rsidTr="00655B79">
        <w:tc>
          <w:tcPr>
            <w:tcW w:w="2405" w:type="dxa"/>
            <w:vAlign w:val="center"/>
          </w:tcPr>
          <w:p w14:paraId="457A2FF2"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Vandžiogalos</w:t>
            </w:r>
          </w:p>
        </w:tc>
        <w:tc>
          <w:tcPr>
            <w:tcW w:w="2125" w:type="dxa"/>
          </w:tcPr>
          <w:p w14:paraId="7B8E38FE"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115</w:t>
            </w:r>
          </w:p>
        </w:tc>
        <w:tc>
          <w:tcPr>
            <w:tcW w:w="2265" w:type="dxa"/>
          </w:tcPr>
          <w:p w14:paraId="1A2D6B07"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114</w:t>
            </w:r>
          </w:p>
        </w:tc>
        <w:tc>
          <w:tcPr>
            <w:tcW w:w="2266" w:type="dxa"/>
          </w:tcPr>
          <w:p w14:paraId="5B6F9DAB"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w:t>
            </w:r>
          </w:p>
        </w:tc>
      </w:tr>
      <w:tr w:rsidR="003C674D" w:rsidRPr="003C674D" w14:paraId="3D111CF4" w14:textId="77777777" w:rsidTr="00655B79">
        <w:tc>
          <w:tcPr>
            <w:tcW w:w="2405" w:type="dxa"/>
            <w:vAlign w:val="center"/>
          </w:tcPr>
          <w:p w14:paraId="05A6A6C6"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Vilkijos apyl.</w:t>
            </w:r>
          </w:p>
        </w:tc>
        <w:tc>
          <w:tcPr>
            <w:tcW w:w="2125" w:type="dxa"/>
          </w:tcPr>
          <w:p w14:paraId="65589B0C"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219</w:t>
            </w:r>
          </w:p>
        </w:tc>
        <w:tc>
          <w:tcPr>
            <w:tcW w:w="2265" w:type="dxa"/>
          </w:tcPr>
          <w:p w14:paraId="13410024"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170</w:t>
            </w:r>
          </w:p>
        </w:tc>
        <w:tc>
          <w:tcPr>
            <w:tcW w:w="2266" w:type="dxa"/>
          </w:tcPr>
          <w:p w14:paraId="3FAF2451"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-49</w:t>
            </w:r>
          </w:p>
        </w:tc>
      </w:tr>
      <w:tr w:rsidR="003C674D" w:rsidRPr="003C674D" w14:paraId="0D5FA65E" w14:textId="77777777" w:rsidTr="00655B79">
        <w:tc>
          <w:tcPr>
            <w:tcW w:w="2405" w:type="dxa"/>
            <w:vAlign w:val="center"/>
          </w:tcPr>
          <w:p w14:paraId="54909B33"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Vilkijos</w:t>
            </w:r>
          </w:p>
        </w:tc>
        <w:tc>
          <w:tcPr>
            <w:tcW w:w="2125" w:type="dxa"/>
          </w:tcPr>
          <w:p w14:paraId="4A9ED63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163</w:t>
            </w:r>
          </w:p>
        </w:tc>
        <w:tc>
          <w:tcPr>
            <w:tcW w:w="2265" w:type="dxa"/>
          </w:tcPr>
          <w:p w14:paraId="4A8C918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136</w:t>
            </w:r>
          </w:p>
        </w:tc>
        <w:tc>
          <w:tcPr>
            <w:tcW w:w="2266" w:type="dxa"/>
          </w:tcPr>
          <w:p w14:paraId="0DB900C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-27</w:t>
            </w:r>
          </w:p>
        </w:tc>
      </w:tr>
      <w:tr w:rsidR="003C674D" w:rsidRPr="003C674D" w14:paraId="5BB128AF" w14:textId="77777777" w:rsidTr="00655B79">
        <w:tc>
          <w:tcPr>
            <w:tcW w:w="2405" w:type="dxa"/>
            <w:vAlign w:val="center"/>
          </w:tcPr>
          <w:p w14:paraId="297E0FFC"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Zapyškio</w:t>
            </w:r>
          </w:p>
        </w:tc>
        <w:tc>
          <w:tcPr>
            <w:tcW w:w="2125" w:type="dxa"/>
          </w:tcPr>
          <w:p w14:paraId="6437F3FC"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212</w:t>
            </w:r>
          </w:p>
        </w:tc>
        <w:tc>
          <w:tcPr>
            <w:tcW w:w="2265" w:type="dxa"/>
          </w:tcPr>
          <w:p w14:paraId="519808A7"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173</w:t>
            </w:r>
          </w:p>
        </w:tc>
        <w:tc>
          <w:tcPr>
            <w:tcW w:w="2266" w:type="dxa"/>
          </w:tcPr>
          <w:p w14:paraId="5090BD0B"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-39</w:t>
            </w:r>
          </w:p>
        </w:tc>
      </w:tr>
      <w:tr w:rsidR="003C674D" w:rsidRPr="003C674D" w14:paraId="6103654F" w14:textId="77777777" w:rsidTr="00655B79">
        <w:trPr>
          <w:trHeight w:val="149"/>
        </w:trPr>
        <w:tc>
          <w:tcPr>
            <w:tcW w:w="2405" w:type="dxa"/>
            <w:vAlign w:val="center"/>
          </w:tcPr>
          <w:p w14:paraId="3672ABAC" w14:textId="77777777" w:rsidR="003C674D" w:rsidRPr="003C674D" w:rsidRDefault="003C674D" w:rsidP="003C674D">
            <w:pPr>
              <w:rPr>
                <w:rFonts w:ascii="Times New Roman" w:hAnsi="Times New Roman"/>
                <w:b/>
                <w:bCs/>
                <w:sz w:val="24"/>
                <w:szCs w:val="24"/>
                <w:lang w:eastAsia="en-US"/>
              </w:rPr>
            </w:pPr>
            <w:r w:rsidRPr="003C674D">
              <w:rPr>
                <w:rFonts w:ascii="Times New Roman" w:hAnsi="Times New Roman"/>
                <w:b/>
                <w:bCs/>
                <w:sz w:val="24"/>
                <w:szCs w:val="24"/>
                <w:lang w:eastAsia="en-US"/>
              </w:rPr>
              <w:lastRenderedPageBreak/>
              <w:t>Iš viso registruota sk.</w:t>
            </w:r>
          </w:p>
        </w:tc>
        <w:tc>
          <w:tcPr>
            <w:tcW w:w="2125" w:type="dxa"/>
          </w:tcPr>
          <w:p w14:paraId="6830C71D" w14:textId="77777777" w:rsidR="003C674D" w:rsidRPr="003C674D" w:rsidRDefault="003C674D" w:rsidP="003C674D">
            <w:pPr>
              <w:jc w:val="center"/>
              <w:rPr>
                <w:rFonts w:ascii="Times New Roman" w:hAnsi="Times New Roman"/>
                <w:b/>
                <w:bCs/>
                <w:sz w:val="24"/>
                <w:szCs w:val="24"/>
                <w:lang w:eastAsia="en-US"/>
              </w:rPr>
            </w:pPr>
            <w:r w:rsidRPr="003C674D">
              <w:rPr>
                <w:rFonts w:ascii="Times New Roman" w:hAnsi="Times New Roman"/>
                <w:b/>
                <w:bCs/>
                <w:sz w:val="24"/>
                <w:szCs w:val="24"/>
                <w:lang w:eastAsia="en-US"/>
              </w:rPr>
              <w:t>6167</w:t>
            </w:r>
          </w:p>
        </w:tc>
        <w:tc>
          <w:tcPr>
            <w:tcW w:w="2265" w:type="dxa"/>
          </w:tcPr>
          <w:p w14:paraId="32539760" w14:textId="77777777" w:rsidR="003C674D" w:rsidRPr="003C674D" w:rsidRDefault="003C674D" w:rsidP="003C674D">
            <w:pPr>
              <w:jc w:val="center"/>
              <w:rPr>
                <w:rFonts w:ascii="Times New Roman" w:hAnsi="Times New Roman"/>
                <w:b/>
                <w:bCs/>
                <w:sz w:val="24"/>
                <w:szCs w:val="24"/>
                <w:lang w:eastAsia="en-US"/>
              </w:rPr>
            </w:pPr>
            <w:r w:rsidRPr="003C674D">
              <w:rPr>
                <w:rFonts w:ascii="Times New Roman" w:hAnsi="Times New Roman"/>
                <w:b/>
                <w:bCs/>
                <w:sz w:val="24"/>
                <w:szCs w:val="24"/>
                <w:lang w:eastAsia="en-US"/>
              </w:rPr>
              <w:t>5930</w:t>
            </w:r>
          </w:p>
        </w:tc>
        <w:tc>
          <w:tcPr>
            <w:tcW w:w="2266" w:type="dxa"/>
          </w:tcPr>
          <w:p w14:paraId="4BE310AC" w14:textId="77777777" w:rsidR="003C674D" w:rsidRPr="003C674D" w:rsidRDefault="003C674D" w:rsidP="003C674D">
            <w:pPr>
              <w:jc w:val="center"/>
              <w:rPr>
                <w:rFonts w:ascii="Times New Roman" w:hAnsi="Times New Roman"/>
                <w:b/>
                <w:bCs/>
                <w:sz w:val="24"/>
                <w:szCs w:val="24"/>
                <w:lang w:eastAsia="en-US"/>
              </w:rPr>
            </w:pPr>
            <w:r w:rsidRPr="003C674D">
              <w:rPr>
                <w:rFonts w:ascii="Times New Roman" w:hAnsi="Times New Roman"/>
                <w:b/>
                <w:bCs/>
                <w:sz w:val="24"/>
                <w:szCs w:val="24"/>
                <w:lang w:eastAsia="en-US"/>
              </w:rPr>
              <w:t>-237</w:t>
            </w:r>
          </w:p>
        </w:tc>
      </w:tr>
    </w:tbl>
    <w:p w14:paraId="5A5264D5" w14:textId="77777777" w:rsidR="003C674D" w:rsidRPr="003C674D" w:rsidRDefault="003C674D" w:rsidP="003C674D">
      <w:pPr>
        <w:tabs>
          <w:tab w:val="left" w:pos="935"/>
        </w:tabs>
        <w:spacing w:line="360" w:lineRule="auto"/>
        <w:jc w:val="right"/>
        <w:rPr>
          <w:rFonts w:ascii="Times New Roman" w:eastAsia="Calibri" w:hAnsi="Times New Roman"/>
          <w:sz w:val="24"/>
          <w:szCs w:val="24"/>
          <w:lang w:eastAsia="en-US"/>
        </w:rPr>
      </w:pPr>
      <w:r w:rsidRPr="003C674D">
        <w:rPr>
          <w:rFonts w:ascii="Times New Roman" w:eastAsia="Calibri" w:hAnsi="Times New Roman"/>
          <w:noProof/>
          <w:sz w:val="20"/>
          <w:szCs w:val="24"/>
          <w:lang w:eastAsia="en-US"/>
        </w:rPr>
        <w:t xml:space="preserve">Šaltiniai: Užimtumo tarnybos prie LR SADM duomenys.                                                            </w:t>
      </w:r>
      <w:r w:rsidRPr="003C674D">
        <w:rPr>
          <w:rFonts w:ascii="Times New Roman" w:eastAsia="Calibri" w:hAnsi="Times New Roman"/>
          <w:sz w:val="20"/>
          <w:lang w:eastAsia="en-US"/>
        </w:rPr>
        <w:t>1. lentelė</w:t>
      </w:r>
      <w:r w:rsidRPr="003C674D">
        <w:rPr>
          <w:rFonts w:ascii="Times New Roman" w:eastAsia="Calibri" w:hAnsi="Times New Roman"/>
          <w:sz w:val="24"/>
          <w:szCs w:val="24"/>
          <w:lang w:eastAsia="en-US"/>
        </w:rPr>
        <w:t>.</w:t>
      </w:r>
    </w:p>
    <w:p w14:paraId="25F3371E" w14:textId="77777777" w:rsidR="003C674D" w:rsidRPr="003C674D" w:rsidRDefault="003C674D" w:rsidP="003C674D">
      <w:pPr>
        <w:tabs>
          <w:tab w:val="left" w:pos="935"/>
        </w:tabs>
        <w:spacing w:line="360" w:lineRule="auto"/>
        <w:jc w:val="both"/>
        <w:rPr>
          <w:rFonts w:ascii="Times New Roman" w:eastAsia="Calibri" w:hAnsi="Times New Roman"/>
          <w:sz w:val="24"/>
          <w:szCs w:val="24"/>
          <w:lang w:eastAsia="en-US"/>
        </w:rPr>
      </w:pPr>
    </w:p>
    <w:p w14:paraId="7E963769" w14:textId="77777777" w:rsidR="003C674D" w:rsidRPr="003C674D" w:rsidRDefault="003C674D">
      <w:pPr>
        <w:numPr>
          <w:ilvl w:val="0"/>
          <w:numId w:val="1"/>
        </w:numPr>
        <w:tabs>
          <w:tab w:val="left" w:pos="935"/>
        </w:tabs>
        <w:spacing w:line="360" w:lineRule="auto"/>
        <w:ind w:left="0" w:firstLine="851"/>
        <w:jc w:val="both"/>
        <w:rPr>
          <w:rFonts w:ascii="Times New Roman" w:eastAsia="Calibri" w:hAnsi="Times New Roman"/>
          <w:noProof/>
          <w:sz w:val="24"/>
          <w:szCs w:val="24"/>
          <w:lang w:eastAsia="en-US"/>
        </w:rPr>
      </w:pPr>
      <w:r w:rsidRPr="003C674D">
        <w:rPr>
          <w:rFonts w:ascii="Times New Roman" w:eastAsia="Calibri" w:hAnsi="Times New Roman"/>
          <w:noProof/>
          <w:sz w:val="24"/>
          <w:szCs w:val="24"/>
          <w:lang w:eastAsia="en-US"/>
        </w:rPr>
        <w:t xml:space="preserve"> Registruotas nedarbas Kauno r. sav. mažėjo ir tapo 0,9 proc. žemesnis nei 2024 m. tuo pačiu laikotarpiu. Bedarbių struktūros portrete nežymiai augo (0,2 proc.) tik nedirbančio jaunimo (16–29 m.) rodikliai, sparčiai krito vyresnių nei 50 m. ir ilgalaikių bedarbių asmenų skaičius: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1021"/>
        <w:gridCol w:w="1133"/>
        <w:gridCol w:w="996"/>
      </w:tblGrid>
      <w:tr w:rsidR="003C674D" w:rsidRPr="003C674D" w14:paraId="0D180B52"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shd w:val="clear" w:color="auto" w:fill="E7E6E6" w:themeFill="background2"/>
          </w:tcPr>
          <w:p w14:paraId="63D8BC37" w14:textId="77777777" w:rsidR="003C674D" w:rsidRPr="003C674D" w:rsidRDefault="003C674D" w:rsidP="003C674D">
            <w:pPr>
              <w:overflowPunct w:val="0"/>
              <w:jc w:val="both"/>
              <w:rPr>
                <w:rFonts w:ascii="Times New Roman" w:hAnsi="Times New Roman"/>
                <w:b/>
                <w:sz w:val="24"/>
                <w:szCs w:val="24"/>
              </w:rPr>
            </w:pPr>
            <w:r w:rsidRPr="003C674D">
              <w:rPr>
                <w:rFonts w:ascii="Times New Roman" w:hAnsi="Times New Roman"/>
                <w:b/>
                <w:sz w:val="24"/>
                <w:szCs w:val="24"/>
              </w:rPr>
              <w:t>Rodiklis</w:t>
            </w:r>
          </w:p>
          <w:p w14:paraId="0CB97A9A" w14:textId="77777777" w:rsidR="003C674D" w:rsidRPr="003C674D" w:rsidRDefault="003C674D" w:rsidP="003C674D">
            <w:pPr>
              <w:overflowPunct w:val="0"/>
              <w:ind w:left="5039"/>
              <w:contextualSpacing/>
              <w:jc w:val="both"/>
              <w:rPr>
                <w:rFonts w:ascii="Times New Roman" w:hAnsi="Times New Roman"/>
                <w:bCs/>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A119A5" w14:textId="77777777" w:rsidR="003C674D" w:rsidRPr="003C674D" w:rsidRDefault="003C674D" w:rsidP="003C674D">
            <w:pPr>
              <w:overflowPunct w:val="0"/>
              <w:jc w:val="center"/>
              <w:rPr>
                <w:rFonts w:ascii="Times New Roman" w:hAnsi="Times New Roman"/>
                <w:b/>
                <w:sz w:val="24"/>
                <w:szCs w:val="24"/>
              </w:rPr>
            </w:pPr>
            <w:r w:rsidRPr="003C674D">
              <w:rPr>
                <w:rFonts w:ascii="Times New Roman" w:hAnsi="Times New Roman"/>
                <w:b/>
                <w:sz w:val="24"/>
                <w:szCs w:val="24"/>
              </w:rPr>
              <w:t>2023</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61B585" w14:textId="77777777" w:rsidR="003C674D" w:rsidRPr="003C674D" w:rsidRDefault="003C674D" w:rsidP="003C674D">
            <w:pPr>
              <w:overflowPunct w:val="0"/>
              <w:jc w:val="center"/>
              <w:rPr>
                <w:rFonts w:ascii="Times New Roman" w:hAnsi="Times New Roman"/>
                <w:b/>
                <w:sz w:val="24"/>
                <w:szCs w:val="24"/>
              </w:rPr>
            </w:pPr>
            <w:r w:rsidRPr="003C674D">
              <w:rPr>
                <w:rFonts w:ascii="Times New Roman" w:hAnsi="Times New Roman"/>
                <w:b/>
                <w:sz w:val="24"/>
                <w:szCs w:val="24"/>
              </w:rPr>
              <w:t>2024</w:t>
            </w:r>
          </w:p>
        </w:tc>
        <w:tc>
          <w:tcPr>
            <w:tcW w:w="9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7D7C57" w14:textId="77777777" w:rsidR="003C674D" w:rsidRPr="003C674D" w:rsidRDefault="003C674D" w:rsidP="003C674D">
            <w:pPr>
              <w:overflowPunct w:val="0"/>
              <w:jc w:val="center"/>
              <w:rPr>
                <w:rFonts w:ascii="Times New Roman" w:hAnsi="Times New Roman"/>
                <w:b/>
                <w:sz w:val="24"/>
                <w:szCs w:val="24"/>
              </w:rPr>
            </w:pPr>
            <w:r w:rsidRPr="003C674D">
              <w:rPr>
                <w:rFonts w:ascii="Times New Roman" w:hAnsi="Times New Roman"/>
                <w:b/>
                <w:sz w:val="24"/>
                <w:szCs w:val="24"/>
              </w:rPr>
              <w:t xml:space="preserve">2025*     </w:t>
            </w:r>
            <w:r w:rsidRPr="003C674D">
              <w:rPr>
                <w:rFonts w:ascii="Times New Roman" w:hAnsi="Times New Roman"/>
                <w:b/>
                <w:sz w:val="12"/>
                <w:szCs w:val="12"/>
              </w:rPr>
              <w:t>(*metų pradžioje)</w:t>
            </w:r>
          </w:p>
        </w:tc>
      </w:tr>
      <w:tr w:rsidR="003C674D" w:rsidRPr="003C674D" w14:paraId="4D162739" w14:textId="77777777" w:rsidTr="00655B79">
        <w:trPr>
          <w:trHeight w:val="323"/>
          <w:jc w:val="center"/>
        </w:trPr>
        <w:tc>
          <w:tcPr>
            <w:tcW w:w="5919" w:type="dxa"/>
            <w:tcBorders>
              <w:top w:val="single" w:sz="4" w:space="0" w:color="auto"/>
              <w:left w:val="single" w:sz="4" w:space="0" w:color="auto"/>
              <w:bottom w:val="single" w:sz="4" w:space="0" w:color="auto"/>
              <w:right w:val="single" w:sz="4" w:space="0" w:color="auto"/>
            </w:tcBorders>
            <w:hideMark/>
          </w:tcPr>
          <w:p w14:paraId="6E770A0D"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Bendras Kauno rajono savivaldybės gyventojų skaičius</w:t>
            </w:r>
          </w:p>
        </w:tc>
        <w:tc>
          <w:tcPr>
            <w:tcW w:w="1022" w:type="dxa"/>
            <w:tcBorders>
              <w:top w:val="single" w:sz="4" w:space="0" w:color="auto"/>
              <w:left w:val="single" w:sz="4" w:space="0" w:color="auto"/>
              <w:bottom w:val="single" w:sz="4" w:space="0" w:color="auto"/>
              <w:right w:val="single" w:sz="4" w:space="0" w:color="auto"/>
            </w:tcBorders>
            <w:hideMark/>
          </w:tcPr>
          <w:p w14:paraId="67C97694" w14:textId="77777777" w:rsidR="003C674D" w:rsidRPr="003C674D" w:rsidRDefault="003C674D" w:rsidP="003C674D">
            <w:pPr>
              <w:overflowPunct w:val="0"/>
              <w:jc w:val="center"/>
              <w:rPr>
                <w:rFonts w:ascii="Times New Roman" w:hAnsi="Times New Roman"/>
                <w:color w:val="FF0000"/>
                <w:sz w:val="24"/>
                <w:szCs w:val="24"/>
              </w:rPr>
            </w:pPr>
            <w:r w:rsidRPr="003C674D">
              <w:rPr>
                <w:rFonts w:ascii="Times New Roman" w:hAnsi="Times New Roman"/>
                <w:color w:val="000000" w:themeColor="text1"/>
                <w:sz w:val="24"/>
                <w:szCs w:val="24"/>
              </w:rPr>
              <w:t>111 355</w:t>
            </w:r>
          </w:p>
        </w:tc>
        <w:tc>
          <w:tcPr>
            <w:tcW w:w="1134" w:type="dxa"/>
            <w:tcBorders>
              <w:top w:val="single" w:sz="4" w:space="0" w:color="auto"/>
              <w:left w:val="single" w:sz="4" w:space="0" w:color="auto"/>
              <w:bottom w:val="single" w:sz="4" w:space="0" w:color="auto"/>
              <w:right w:val="single" w:sz="4" w:space="0" w:color="auto"/>
            </w:tcBorders>
            <w:hideMark/>
          </w:tcPr>
          <w:p w14:paraId="36D6EE4C" w14:textId="77777777" w:rsidR="003C674D" w:rsidRPr="003C674D" w:rsidRDefault="003C674D" w:rsidP="003C674D">
            <w:pPr>
              <w:overflowPunct w:val="0"/>
              <w:jc w:val="center"/>
              <w:rPr>
                <w:rFonts w:ascii="Times New Roman" w:hAnsi="Times New Roman"/>
                <w:color w:val="FF0000"/>
                <w:sz w:val="24"/>
                <w:szCs w:val="24"/>
              </w:rPr>
            </w:pPr>
            <w:r w:rsidRPr="003C674D">
              <w:rPr>
                <w:rFonts w:ascii="Times New Roman" w:hAnsi="Times New Roman"/>
                <w:color w:val="000000" w:themeColor="text1"/>
                <w:sz w:val="24"/>
                <w:szCs w:val="24"/>
              </w:rPr>
              <w:t>115 137</w:t>
            </w:r>
          </w:p>
        </w:tc>
        <w:tc>
          <w:tcPr>
            <w:tcW w:w="986" w:type="dxa"/>
            <w:tcBorders>
              <w:top w:val="single" w:sz="4" w:space="0" w:color="auto"/>
              <w:left w:val="single" w:sz="4" w:space="0" w:color="auto"/>
              <w:bottom w:val="single" w:sz="4" w:space="0" w:color="auto"/>
              <w:right w:val="single" w:sz="4" w:space="0" w:color="auto"/>
            </w:tcBorders>
            <w:hideMark/>
          </w:tcPr>
          <w:p w14:paraId="6E80ADFA" w14:textId="77777777" w:rsidR="003C674D" w:rsidRPr="003C674D" w:rsidRDefault="003C674D" w:rsidP="003C674D">
            <w:pPr>
              <w:overflowPunct w:val="0"/>
              <w:jc w:val="center"/>
              <w:rPr>
                <w:rFonts w:ascii="Times New Roman" w:hAnsi="Times New Roman"/>
                <w:color w:val="000000" w:themeColor="text1"/>
                <w:sz w:val="24"/>
                <w:szCs w:val="24"/>
              </w:rPr>
            </w:pPr>
            <w:r w:rsidRPr="003C674D">
              <w:rPr>
                <w:rFonts w:ascii="Times New Roman" w:hAnsi="Times New Roman"/>
                <w:color w:val="000000" w:themeColor="text1"/>
                <w:sz w:val="24"/>
                <w:szCs w:val="24"/>
              </w:rPr>
              <w:t>117 649</w:t>
            </w:r>
          </w:p>
          <w:p w14:paraId="599F3DE4" w14:textId="77777777" w:rsidR="003C674D" w:rsidRPr="003C674D" w:rsidRDefault="003C674D" w:rsidP="003C674D">
            <w:pPr>
              <w:overflowPunct w:val="0"/>
              <w:jc w:val="center"/>
              <w:rPr>
                <w:rFonts w:ascii="Times New Roman" w:hAnsi="Times New Roman"/>
                <w:color w:val="FF0000"/>
                <w:sz w:val="24"/>
                <w:szCs w:val="24"/>
              </w:rPr>
            </w:pPr>
          </w:p>
        </w:tc>
      </w:tr>
      <w:tr w:rsidR="003C674D" w:rsidRPr="003C674D" w14:paraId="274D565C"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65EB95EA"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Bedarbių skaičius (laikotarpio pabaigoje)</w:t>
            </w:r>
          </w:p>
        </w:tc>
        <w:tc>
          <w:tcPr>
            <w:tcW w:w="1022" w:type="dxa"/>
            <w:tcBorders>
              <w:top w:val="single" w:sz="4" w:space="0" w:color="auto"/>
              <w:left w:val="single" w:sz="4" w:space="0" w:color="auto"/>
              <w:bottom w:val="single" w:sz="4" w:space="0" w:color="auto"/>
              <w:right w:val="single" w:sz="4" w:space="0" w:color="auto"/>
            </w:tcBorders>
            <w:hideMark/>
          </w:tcPr>
          <w:p w14:paraId="19E3148B"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5764</w:t>
            </w:r>
          </w:p>
        </w:tc>
        <w:tc>
          <w:tcPr>
            <w:tcW w:w="1134" w:type="dxa"/>
            <w:tcBorders>
              <w:top w:val="single" w:sz="4" w:space="0" w:color="auto"/>
              <w:left w:val="single" w:sz="4" w:space="0" w:color="auto"/>
              <w:bottom w:val="single" w:sz="4" w:space="0" w:color="auto"/>
              <w:right w:val="single" w:sz="4" w:space="0" w:color="auto"/>
            </w:tcBorders>
            <w:hideMark/>
          </w:tcPr>
          <w:p w14:paraId="3797C681"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6167</w:t>
            </w:r>
          </w:p>
        </w:tc>
        <w:tc>
          <w:tcPr>
            <w:tcW w:w="986" w:type="dxa"/>
            <w:tcBorders>
              <w:top w:val="single" w:sz="4" w:space="0" w:color="auto"/>
              <w:left w:val="single" w:sz="4" w:space="0" w:color="auto"/>
              <w:bottom w:val="single" w:sz="4" w:space="0" w:color="auto"/>
              <w:right w:val="single" w:sz="4" w:space="0" w:color="auto"/>
            </w:tcBorders>
            <w:hideMark/>
          </w:tcPr>
          <w:p w14:paraId="54A70A92"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5930</w:t>
            </w:r>
          </w:p>
        </w:tc>
      </w:tr>
      <w:tr w:rsidR="003C674D" w:rsidRPr="003C674D" w14:paraId="375D7072"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5CF6E0A9"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Bedarbių procentas nuo darbingo amžiaus gyventojų (vidurkis)</w:t>
            </w:r>
          </w:p>
        </w:tc>
        <w:tc>
          <w:tcPr>
            <w:tcW w:w="1022" w:type="dxa"/>
            <w:tcBorders>
              <w:top w:val="single" w:sz="4" w:space="0" w:color="auto"/>
              <w:left w:val="single" w:sz="4" w:space="0" w:color="auto"/>
              <w:bottom w:val="single" w:sz="4" w:space="0" w:color="auto"/>
              <w:right w:val="single" w:sz="4" w:space="0" w:color="auto"/>
            </w:tcBorders>
            <w:hideMark/>
          </w:tcPr>
          <w:p w14:paraId="06159A0D"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hideMark/>
          </w:tcPr>
          <w:p w14:paraId="05C3925C"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9,4</w:t>
            </w:r>
          </w:p>
        </w:tc>
        <w:tc>
          <w:tcPr>
            <w:tcW w:w="986" w:type="dxa"/>
            <w:tcBorders>
              <w:top w:val="single" w:sz="4" w:space="0" w:color="auto"/>
              <w:left w:val="single" w:sz="4" w:space="0" w:color="auto"/>
              <w:bottom w:val="single" w:sz="4" w:space="0" w:color="auto"/>
              <w:right w:val="single" w:sz="4" w:space="0" w:color="auto"/>
            </w:tcBorders>
            <w:hideMark/>
          </w:tcPr>
          <w:p w14:paraId="3AD2784A"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8,5</w:t>
            </w:r>
          </w:p>
        </w:tc>
      </w:tr>
      <w:tr w:rsidR="003C674D" w:rsidRPr="003C674D" w14:paraId="14ACB697"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16AF9CC9"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Ilgalaikių bedarbių skaičius (laikotarpio pabaigoje)</w:t>
            </w:r>
          </w:p>
        </w:tc>
        <w:tc>
          <w:tcPr>
            <w:tcW w:w="1022" w:type="dxa"/>
            <w:tcBorders>
              <w:top w:val="single" w:sz="4" w:space="0" w:color="auto"/>
              <w:left w:val="single" w:sz="4" w:space="0" w:color="auto"/>
              <w:bottom w:val="single" w:sz="4" w:space="0" w:color="auto"/>
              <w:right w:val="single" w:sz="4" w:space="0" w:color="auto"/>
            </w:tcBorders>
            <w:hideMark/>
          </w:tcPr>
          <w:p w14:paraId="6A1E768D"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1313</w:t>
            </w:r>
          </w:p>
        </w:tc>
        <w:tc>
          <w:tcPr>
            <w:tcW w:w="1134" w:type="dxa"/>
            <w:tcBorders>
              <w:top w:val="single" w:sz="4" w:space="0" w:color="auto"/>
              <w:left w:val="single" w:sz="4" w:space="0" w:color="auto"/>
              <w:bottom w:val="single" w:sz="4" w:space="0" w:color="auto"/>
              <w:right w:val="single" w:sz="4" w:space="0" w:color="auto"/>
            </w:tcBorders>
            <w:hideMark/>
          </w:tcPr>
          <w:p w14:paraId="2DB6ED85"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1464</w:t>
            </w:r>
          </w:p>
        </w:tc>
        <w:tc>
          <w:tcPr>
            <w:tcW w:w="986" w:type="dxa"/>
            <w:tcBorders>
              <w:top w:val="single" w:sz="4" w:space="0" w:color="auto"/>
              <w:left w:val="single" w:sz="4" w:space="0" w:color="auto"/>
              <w:bottom w:val="single" w:sz="4" w:space="0" w:color="auto"/>
              <w:right w:val="single" w:sz="4" w:space="0" w:color="auto"/>
            </w:tcBorders>
            <w:hideMark/>
          </w:tcPr>
          <w:p w14:paraId="5DC2C92D"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1023</w:t>
            </w:r>
          </w:p>
        </w:tc>
      </w:tr>
      <w:tr w:rsidR="003C674D" w:rsidRPr="003C674D" w14:paraId="2AA353BA"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40E58045"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Bedarbių moterų skaičius (laikotarpio pabaigoje)</w:t>
            </w:r>
          </w:p>
        </w:tc>
        <w:tc>
          <w:tcPr>
            <w:tcW w:w="1022" w:type="dxa"/>
            <w:tcBorders>
              <w:top w:val="single" w:sz="4" w:space="0" w:color="auto"/>
              <w:left w:val="single" w:sz="4" w:space="0" w:color="auto"/>
              <w:bottom w:val="single" w:sz="4" w:space="0" w:color="auto"/>
              <w:right w:val="single" w:sz="4" w:space="0" w:color="auto"/>
            </w:tcBorders>
          </w:tcPr>
          <w:p w14:paraId="3F76A07F"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2862</w:t>
            </w:r>
          </w:p>
        </w:tc>
        <w:tc>
          <w:tcPr>
            <w:tcW w:w="1134" w:type="dxa"/>
            <w:tcBorders>
              <w:top w:val="single" w:sz="4" w:space="0" w:color="auto"/>
              <w:left w:val="single" w:sz="4" w:space="0" w:color="auto"/>
              <w:bottom w:val="single" w:sz="4" w:space="0" w:color="auto"/>
              <w:right w:val="single" w:sz="4" w:space="0" w:color="auto"/>
            </w:tcBorders>
          </w:tcPr>
          <w:p w14:paraId="44F80247"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2988</w:t>
            </w:r>
          </w:p>
        </w:tc>
        <w:tc>
          <w:tcPr>
            <w:tcW w:w="986" w:type="dxa"/>
            <w:tcBorders>
              <w:top w:val="single" w:sz="4" w:space="0" w:color="auto"/>
              <w:left w:val="single" w:sz="4" w:space="0" w:color="auto"/>
              <w:bottom w:val="single" w:sz="4" w:space="0" w:color="auto"/>
              <w:right w:val="single" w:sz="4" w:space="0" w:color="auto"/>
            </w:tcBorders>
          </w:tcPr>
          <w:p w14:paraId="797C24F9"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2942</w:t>
            </w:r>
          </w:p>
        </w:tc>
      </w:tr>
      <w:tr w:rsidR="003C674D" w:rsidRPr="003C674D" w14:paraId="44C6E7D9"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56CFD65E"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Bedarbių vyrų skaičius (laikotarpio pabaigoje)</w:t>
            </w:r>
          </w:p>
        </w:tc>
        <w:tc>
          <w:tcPr>
            <w:tcW w:w="1022" w:type="dxa"/>
            <w:tcBorders>
              <w:top w:val="single" w:sz="4" w:space="0" w:color="auto"/>
              <w:left w:val="single" w:sz="4" w:space="0" w:color="auto"/>
              <w:bottom w:val="single" w:sz="4" w:space="0" w:color="auto"/>
              <w:right w:val="single" w:sz="4" w:space="0" w:color="auto"/>
            </w:tcBorders>
          </w:tcPr>
          <w:p w14:paraId="7E5FBF24"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2902</w:t>
            </w:r>
          </w:p>
        </w:tc>
        <w:tc>
          <w:tcPr>
            <w:tcW w:w="1134" w:type="dxa"/>
            <w:tcBorders>
              <w:top w:val="single" w:sz="4" w:space="0" w:color="auto"/>
              <w:left w:val="single" w:sz="4" w:space="0" w:color="auto"/>
              <w:bottom w:val="single" w:sz="4" w:space="0" w:color="auto"/>
              <w:right w:val="single" w:sz="4" w:space="0" w:color="auto"/>
            </w:tcBorders>
          </w:tcPr>
          <w:p w14:paraId="3A34D6F8"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3179</w:t>
            </w:r>
          </w:p>
        </w:tc>
        <w:tc>
          <w:tcPr>
            <w:tcW w:w="986" w:type="dxa"/>
            <w:tcBorders>
              <w:top w:val="single" w:sz="4" w:space="0" w:color="auto"/>
              <w:left w:val="single" w:sz="4" w:space="0" w:color="auto"/>
              <w:bottom w:val="single" w:sz="4" w:space="0" w:color="auto"/>
              <w:right w:val="single" w:sz="4" w:space="0" w:color="auto"/>
            </w:tcBorders>
          </w:tcPr>
          <w:p w14:paraId="1827AA8F"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2988</w:t>
            </w:r>
          </w:p>
        </w:tc>
      </w:tr>
      <w:tr w:rsidR="003C674D" w:rsidRPr="003C674D" w14:paraId="0927F866"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1DB936A4"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Vyresnių nei 50 metų amžiaus bedarbių skaičius</w:t>
            </w:r>
          </w:p>
        </w:tc>
        <w:tc>
          <w:tcPr>
            <w:tcW w:w="1022" w:type="dxa"/>
            <w:tcBorders>
              <w:top w:val="single" w:sz="4" w:space="0" w:color="auto"/>
              <w:left w:val="single" w:sz="4" w:space="0" w:color="auto"/>
              <w:bottom w:val="single" w:sz="4" w:space="0" w:color="auto"/>
              <w:right w:val="single" w:sz="4" w:space="0" w:color="auto"/>
            </w:tcBorders>
          </w:tcPr>
          <w:p w14:paraId="6571FE01"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2241</w:t>
            </w:r>
          </w:p>
        </w:tc>
        <w:tc>
          <w:tcPr>
            <w:tcW w:w="1134" w:type="dxa"/>
            <w:tcBorders>
              <w:top w:val="single" w:sz="4" w:space="0" w:color="auto"/>
              <w:left w:val="single" w:sz="4" w:space="0" w:color="auto"/>
              <w:bottom w:val="single" w:sz="4" w:space="0" w:color="auto"/>
              <w:right w:val="single" w:sz="4" w:space="0" w:color="auto"/>
            </w:tcBorders>
          </w:tcPr>
          <w:p w14:paraId="612A50B1"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2338</w:t>
            </w:r>
          </w:p>
        </w:tc>
        <w:tc>
          <w:tcPr>
            <w:tcW w:w="986" w:type="dxa"/>
            <w:tcBorders>
              <w:top w:val="single" w:sz="4" w:space="0" w:color="auto"/>
              <w:left w:val="single" w:sz="4" w:space="0" w:color="auto"/>
              <w:bottom w:val="single" w:sz="4" w:space="0" w:color="auto"/>
              <w:right w:val="single" w:sz="4" w:space="0" w:color="auto"/>
            </w:tcBorders>
          </w:tcPr>
          <w:p w14:paraId="2F667875"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2086</w:t>
            </w:r>
          </w:p>
        </w:tc>
      </w:tr>
      <w:tr w:rsidR="003C674D" w:rsidRPr="003C674D" w14:paraId="58A48CE8"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5D711700"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Jaunų (16-29) bedarbių skaičius (laikotarpio pabaigoje)</w:t>
            </w:r>
          </w:p>
        </w:tc>
        <w:tc>
          <w:tcPr>
            <w:tcW w:w="1022" w:type="dxa"/>
            <w:tcBorders>
              <w:top w:val="single" w:sz="4" w:space="0" w:color="auto"/>
              <w:left w:val="single" w:sz="4" w:space="0" w:color="auto"/>
              <w:bottom w:val="single" w:sz="4" w:space="0" w:color="auto"/>
              <w:right w:val="single" w:sz="4" w:space="0" w:color="auto"/>
            </w:tcBorders>
          </w:tcPr>
          <w:p w14:paraId="568C52CF"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6051BA0C"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1158</w:t>
            </w:r>
          </w:p>
        </w:tc>
        <w:tc>
          <w:tcPr>
            <w:tcW w:w="986" w:type="dxa"/>
            <w:tcBorders>
              <w:top w:val="single" w:sz="4" w:space="0" w:color="auto"/>
              <w:left w:val="single" w:sz="4" w:space="0" w:color="auto"/>
              <w:bottom w:val="single" w:sz="4" w:space="0" w:color="auto"/>
              <w:right w:val="single" w:sz="4" w:space="0" w:color="auto"/>
            </w:tcBorders>
          </w:tcPr>
          <w:p w14:paraId="3A5B38F3"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1228</w:t>
            </w:r>
          </w:p>
        </w:tc>
      </w:tr>
      <w:tr w:rsidR="003C674D" w:rsidRPr="003C674D" w14:paraId="21B376C6"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tcPr>
          <w:p w14:paraId="3BBE76D3"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Bedarbių su negalią skaičius</w:t>
            </w:r>
          </w:p>
        </w:tc>
        <w:tc>
          <w:tcPr>
            <w:tcW w:w="1022" w:type="dxa"/>
            <w:tcBorders>
              <w:top w:val="single" w:sz="4" w:space="0" w:color="auto"/>
              <w:left w:val="single" w:sz="4" w:space="0" w:color="auto"/>
              <w:bottom w:val="single" w:sz="4" w:space="0" w:color="auto"/>
              <w:right w:val="single" w:sz="4" w:space="0" w:color="auto"/>
            </w:tcBorders>
          </w:tcPr>
          <w:p w14:paraId="14E14EA0"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tcPr>
          <w:p w14:paraId="22921F07"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489</w:t>
            </w:r>
          </w:p>
        </w:tc>
        <w:tc>
          <w:tcPr>
            <w:tcW w:w="986" w:type="dxa"/>
            <w:tcBorders>
              <w:top w:val="single" w:sz="4" w:space="0" w:color="auto"/>
              <w:left w:val="single" w:sz="4" w:space="0" w:color="auto"/>
              <w:bottom w:val="single" w:sz="4" w:space="0" w:color="auto"/>
              <w:right w:val="single" w:sz="4" w:space="0" w:color="auto"/>
            </w:tcBorders>
          </w:tcPr>
          <w:p w14:paraId="5ABD0D48"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387</w:t>
            </w:r>
          </w:p>
        </w:tc>
      </w:tr>
      <w:tr w:rsidR="003C674D" w:rsidRPr="003C674D" w14:paraId="74B6A2C8" w14:textId="77777777" w:rsidTr="00655B79">
        <w:trPr>
          <w:jc w:val="center"/>
        </w:trPr>
        <w:tc>
          <w:tcPr>
            <w:tcW w:w="5919" w:type="dxa"/>
            <w:tcBorders>
              <w:top w:val="single" w:sz="4" w:space="0" w:color="auto"/>
              <w:left w:val="single" w:sz="4" w:space="0" w:color="auto"/>
              <w:bottom w:val="single" w:sz="4" w:space="0" w:color="auto"/>
              <w:right w:val="single" w:sz="4" w:space="0" w:color="auto"/>
            </w:tcBorders>
            <w:hideMark/>
          </w:tcPr>
          <w:p w14:paraId="7CE047D1" w14:textId="77777777" w:rsidR="003C674D" w:rsidRPr="003C674D" w:rsidRDefault="003C674D" w:rsidP="003C674D">
            <w:pPr>
              <w:overflowPunct w:val="0"/>
              <w:jc w:val="both"/>
              <w:rPr>
                <w:rFonts w:ascii="Times New Roman" w:hAnsi="Times New Roman"/>
                <w:bCs/>
                <w:sz w:val="24"/>
                <w:szCs w:val="24"/>
              </w:rPr>
            </w:pPr>
            <w:r w:rsidRPr="003C674D">
              <w:rPr>
                <w:rFonts w:ascii="Times New Roman" w:hAnsi="Times New Roman"/>
                <w:bCs/>
                <w:sz w:val="24"/>
                <w:szCs w:val="24"/>
              </w:rPr>
              <w:t>Darbo rinkai besirengiančių asmenų skaičius (*metų pabaigoje)</w:t>
            </w:r>
          </w:p>
        </w:tc>
        <w:tc>
          <w:tcPr>
            <w:tcW w:w="1022" w:type="dxa"/>
            <w:tcBorders>
              <w:top w:val="single" w:sz="4" w:space="0" w:color="auto"/>
              <w:left w:val="single" w:sz="4" w:space="0" w:color="auto"/>
              <w:bottom w:val="single" w:sz="4" w:space="0" w:color="auto"/>
              <w:right w:val="single" w:sz="4" w:space="0" w:color="auto"/>
            </w:tcBorders>
            <w:hideMark/>
          </w:tcPr>
          <w:p w14:paraId="43301E7A"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80E0A69"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174</w:t>
            </w:r>
          </w:p>
        </w:tc>
        <w:tc>
          <w:tcPr>
            <w:tcW w:w="986" w:type="dxa"/>
            <w:tcBorders>
              <w:top w:val="single" w:sz="4" w:space="0" w:color="auto"/>
              <w:left w:val="single" w:sz="4" w:space="0" w:color="auto"/>
              <w:bottom w:val="single" w:sz="4" w:space="0" w:color="auto"/>
              <w:right w:val="single" w:sz="4" w:space="0" w:color="auto"/>
            </w:tcBorders>
            <w:hideMark/>
          </w:tcPr>
          <w:p w14:paraId="3DB21AB0" w14:textId="77777777" w:rsidR="003C674D" w:rsidRPr="003C674D" w:rsidRDefault="003C674D" w:rsidP="003C674D">
            <w:pPr>
              <w:overflowPunct w:val="0"/>
              <w:jc w:val="center"/>
              <w:rPr>
                <w:rFonts w:ascii="Times New Roman" w:hAnsi="Times New Roman"/>
                <w:sz w:val="24"/>
                <w:szCs w:val="24"/>
              </w:rPr>
            </w:pPr>
            <w:r w:rsidRPr="003C674D">
              <w:rPr>
                <w:rFonts w:ascii="Times New Roman" w:hAnsi="Times New Roman"/>
                <w:sz w:val="24"/>
                <w:szCs w:val="24"/>
              </w:rPr>
              <w:t>251</w:t>
            </w:r>
          </w:p>
        </w:tc>
      </w:tr>
    </w:tbl>
    <w:p w14:paraId="1D8FD27D" w14:textId="77777777" w:rsidR="003C674D" w:rsidRPr="003C674D" w:rsidRDefault="003C674D" w:rsidP="003C674D">
      <w:pPr>
        <w:overflowPunct w:val="0"/>
        <w:ind w:firstLine="720"/>
        <w:rPr>
          <w:rFonts w:ascii="Times New Roman" w:hAnsi="Times New Roman"/>
          <w:sz w:val="20"/>
        </w:rPr>
      </w:pPr>
      <w:r w:rsidRPr="003C674D">
        <w:rPr>
          <w:rFonts w:ascii="Times New Roman" w:hAnsi="Times New Roman"/>
          <w:sz w:val="20"/>
          <w:szCs w:val="24"/>
        </w:rPr>
        <w:t xml:space="preserve">Šaltiniai: Užimtumo tarnybos prie LR SADM duomenys.                                                           2. lentelė.                          </w:t>
      </w:r>
    </w:p>
    <w:p w14:paraId="318AB464" w14:textId="77777777" w:rsidR="003C674D" w:rsidRPr="003C674D" w:rsidRDefault="003C674D" w:rsidP="003C674D">
      <w:pPr>
        <w:autoSpaceDE w:val="0"/>
        <w:autoSpaceDN w:val="0"/>
        <w:adjustRightInd w:val="0"/>
        <w:rPr>
          <w:rFonts w:ascii="Times New Roman" w:hAnsi="Times New Roman"/>
          <w:sz w:val="24"/>
          <w:szCs w:val="24"/>
        </w:rPr>
      </w:pPr>
      <w:bookmarkStart w:id="1" w:name="_Hlk159939740"/>
      <w:bookmarkStart w:id="2" w:name="_Hlk159592493"/>
    </w:p>
    <w:p w14:paraId="313735E6" w14:textId="77777777" w:rsidR="003C674D" w:rsidRPr="003C674D" w:rsidRDefault="003C674D" w:rsidP="003C674D">
      <w:pPr>
        <w:autoSpaceDE w:val="0"/>
        <w:autoSpaceDN w:val="0"/>
        <w:adjustRightInd w:val="0"/>
        <w:rPr>
          <w:rFonts w:ascii="Times New Roman" w:hAnsi="Times New Roman"/>
          <w:sz w:val="24"/>
          <w:szCs w:val="24"/>
        </w:rPr>
      </w:pPr>
    </w:p>
    <w:p w14:paraId="2E1B7CAA" w14:textId="77777777" w:rsidR="003C674D" w:rsidRPr="003C674D" w:rsidRDefault="003C674D">
      <w:pPr>
        <w:numPr>
          <w:ilvl w:val="0"/>
          <w:numId w:val="1"/>
        </w:numPr>
        <w:tabs>
          <w:tab w:val="left" w:pos="851"/>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Kauno r. sav. 2025 metų sausio 1 d. registruotas 251 darbo rinkai besirengiantis asmuo. Daugiausiai tokių asmenų pasižymi socialinių įgūdžių ir (ar) motyvacijos stoka, neturi galimybių atvykti iš nuolatinės gyvenamosios vietos į darbo vietą. Darbo rinkai besirengiančių asmenų pasiskirstymas pagal kliūtis užimtumui:</w:t>
      </w:r>
    </w:p>
    <w:tbl>
      <w:tblPr>
        <w:tblW w:w="9081" w:type="dxa"/>
        <w:jc w:val="center"/>
        <w:tblLook w:val="04A0" w:firstRow="1" w:lastRow="0" w:firstColumn="1" w:lastColumn="0" w:noHBand="0" w:noVBand="1"/>
      </w:tblPr>
      <w:tblGrid>
        <w:gridCol w:w="731"/>
        <w:gridCol w:w="1084"/>
        <w:gridCol w:w="1301"/>
        <w:gridCol w:w="1166"/>
        <w:gridCol w:w="1436"/>
        <w:gridCol w:w="1485"/>
        <w:gridCol w:w="1878"/>
      </w:tblGrid>
      <w:tr w:rsidR="003C674D" w:rsidRPr="003C674D" w14:paraId="6FE224D8" w14:textId="77777777" w:rsidTr="00655B79">
        <w:trPr>
          <w:trHeight w:val="450"/>
          <w:jc w:val="center"/>
        </w:trPr>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A63DD"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Data</w:t>
            </w:r>
          </w:p>
        </w:tc>
        <w:tc>
          <w:tcPr>
            <w:tcW w:w="8350" w:type="dxa"/>
            <w:gridSpan w:val="6"/>
            <w:tcBorders>
              <w:top w:val="single" w:sz="4" w:space="0" w:color="000000"/>
              <w:left w:val="nil"/>
              <w:bottom w:val="single" w:sz="4" w:space="0" w:color="000000"/>
              <w:right w:val="single" w:sz="4" w:space="0" w:color="000000"/>
            </w:tcBorders>
            <w:shd w:val="clear" w:color="auto" w:fill="auto"/>
            <w:vAlign w:val="center"/>
            <w:hideMark/>
          </w:tcPr>
          <w:p w14:paraId="2B261AE2"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Kliūtys užimtumui</w:t>
            </w:r>
          </w:p>
        </w:tc>
      </w:tr>
      <w:tr w:rsidR="003C674D" w:rsidRPr="003C674D" w14:paraId="5FEFF30C" w14:textId="77777777" w:rsidTr="00655B79">
        <w:trPr>
          <w:trHeight w:val="1713"/>
          <w:jc w:val="center"/>
        </w:trPr>
        <w:tc>
          <w:tcPr>
            <w:tcW w:w="731" w:type="dxa"/>
            <w:vMerge/>
            <w:tcBorders>
              <w:top w:val="single" w:sz="4" w:space="0" w:color="000000"/>
              <w:left w:val="single" w:sz="4" w:space="0" w:color="000000"/>
              <w:bottom w:val="single" w:sz="4" w:space="0" w:color="000000"/>
              <w:right w:val="single" w:sz="4" w:space="0" w:color="000000"/>
            </w:tcBorders>
            <w:vAlign w:val="center"/>
            <w:hideMark/>
          </w:tcPr>
          <w:p w14:paraId="51AC5D04" w14:textId="77777777" w:rsidR="003C674D" w:rsidRPr="003C674D" w:rsidRDefault="003C674D" w:rsidP="003C674D">
            <w:pPr>
              <w:jc w:val="center"/>
              <w:rPr>
                <w:rFonts w:ascii="Times New Roman" w:hAnsi="Times New Roman"/>
                <w:color w:val="000000"/>
                <w:sz w:val="22"/>
                <w:szCs w:val="22"/>
              </w:rPr>
            </w:pPr>
          </w:p>
        </w:tc>
        <w:tc>
          <w:tcPr>
            <w:tcW w:w="1084" w:type="dxa"/>
            <w:tcBorders>
              <w:top w:val="nil"/>
              <w:left w:val="single" w:sz="4" w:space="0" w:color="000000"/>
              <w:bottom w:val="single" w:sz="4" w:space="0" w:color="000000"/>
              <w:right w:val="single" w:sz="4" w:space="0" w:color="000000"/>
            </w:tcBorders>
            <w:vAlign w:val="center"/>
            <w:hideMark/>
          </w:tcPr>
          <w:p w14:paraId="5C7947AE"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Iš viso asmenų (unikalių)</w:t>
            </w:r>
          </w:p>
        </w:tc>
        <w:tc>
          <w:tcPr>
            <w:tcW w:w="1301" w:type="dxa"/>
            <w:tcBorders>
              <w:top w:val="nil"/>
              <w:left w:val="nil"/>
              <w:bottom w:val="single" w:sz="4" w:space="0" w:color="000000"/>
              <w:right w:val="single" w:sz="4" w:space="0" w:color="000000"/>
            </w:tcBorders>
            <w:shd w:val="clear" w:color="auto" w:fill="auto"/>
            <w:vAlign w:val="center"/>
            <w:hideMark/>
          </w:tcPr>
          <w:p w14:paraId="33BFC743"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stokoja socialinių įgūdžių ir (ar) motyvacijos dirbti</w:t>
            </w:r>
          </w:p>
        </w:tc>
        <w:tc>
          <w:tcPr>
            <w:tcW w:w="1166" w:type="dxa"/>
            <w:tcBorders>
              <w:top w:val="nil"/>
              <w:left w:val="nil"/>
              <w:bottom w:val="single" w:sz="4" w:space="0" w:color="000000"/>
              <w:right w:val="single" w:sz="4" w:space="0" w:color="000000"/>
            </w:tcBorders>
            <w:shd w:val="clear" w:color="auto" w:fill="auto"/>
            <w:vAlign w:val="center"/>
            <w:hideMark/>
          </w:tcPr>
          <w:p w14:paraId="5F4C2224"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turi prižiūrėti ir (ar) slaugyti šeimos narį ar kartu gyvenantį asmenį</w:t>
            </w:r>
          </w:p>
        </w:tc>
        <w:tc>
          <w:tcPr>
            <w:tcW w:w="1436" w:type="dxa"/>
            <w:tcBorders>
              <w:top w:val="nil"/>
              <w:left w:val="nil"/>
              <w:bottom w:val="single" w:sz="4" w:space="0" w:color="000000"/>
              <w:right w:val="single" w:sz="4" w:space="0" w:color="000000"/>
            </w:tcBorders>
            <w:shd w:val="clear" w:color="auto" w:fill="auto"/>
            <w:vAlign w:val="center"/>
            <w:hideMark/>
          </w:tcPr>
          <w:p w14:paraId="06C69FE4"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apribotas disponavimas piniginėmis lėšomis</w:t>
            </w:r>
          </w:p>
        </w:tc>
        <w:tc>
          <w:tcPr>
            <w:tcW w:w="1485" w:type="dxa"/>
            <w:tcBorders>
              <w:top w:val="nil"/>
              <w:left w:val="nil"/>
              <w:bottom w:val="single" w:sz="4" w:space="0" w:color="000000"/>
              <w:right w:val="single" w:sz="4" w:space="0" w:color="000000"/>
            </w:tcBorders>
            <w:shd w:val="clear" w:color="auto" w:fill="auto"/>
            <w:vAlign w:val="center"/>
            <w:hideMark/>
          </w:tcPr>
          <w:p w14:paraId="0CF09505"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neturi galimybių atvykti iš nuolatinės gyvenamosios vietos į darbo vietą</w:t>
            </w:r>
          </w:p>
        </w:tc>
        <w:tc>
          <w:tcPr>
            <w:tcW w:w="1878" w:type="dxa"/>
            <w:tcBorders>
              <w:top w:val="nil"/>
              <w:left w:val="nil"/>
              <w:bottom w:val="single" w:sz="4" w:space="0" w:color="000000"/>
              <w:right w:val="single" w:sz="4" w:space="0" w:color="000000"/>
            </w:tcBorders>
            <w:shd w:val="clear" w:color="auto" w:fill="auto"/>
            <w:vAlign w:val="center"/>
            <w:hideMark/>
          </w:tcPr>
          <w:p w14:paraId="04919439"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turi priklausomybę nuo alkoholio, narkotinių, psichotropinių ir kitų psichiką veikiančių medžiagų, azartinių žaidimų</w:t>
            </w:r>
          </w:p>
        </w:tc>
      </w:tr>
      <w:tr w:rsidR="003C674D" w:rsidRPr="003C674D" w14:paraId="7FDD78D1" w14:textId="77777777" w:rsidTr="00655B79">
        <w:trPr>
          <w:trHeight w:val="300"/>
          <w:jc w:val="center"/>
        </w:trPr>
        <w:tc>
          <w:tcPr>
            <w:tcW w:w="731" w:type="dxa"/>
            <w:tcBorders>
              <w:top w:val="nil"/>
              <w:left w:val="single" w:sz="4" w:space="0" w:color="000000"/>
              <w:bottom w:val="single" w:sz="4" w:space="0" w:color="000000"/>
              <w:right w:val="single" w:sz="4" w:space="0" w:color="000000"/>
            </w:tcBorders>
            <w:shd w:val="clear" w:color="auto" w:fill="auto"/>
          </w:tcPr>
          <w:p w14:paraId="134BF0DF"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2025-01-01</w:t>
            </w:r>
          </w:p>
        </w:tc>
        <w:tc>
          <w:tcPr>
            <w:tcW w:w="1084" w:type="dxa"/>
            <w:tcBorders>
              <w:top w:val="nil"/>
              <w:left w:val="nil"/>
              <w:bottom w:val="single" w:sz="4" w:space="0" w:color="000000"/>
              <w:right w:val="single" w:sz="4" w:space="0" w:color="000000"/>
            </w:tcBorders>
            <w:shd w:val="clear" w:color="auto" w:fill="auto"/>
          </w:tcPr>
          <w:p w14:paraId="636468DC"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174</w:t>
            </w:r>
          </w:p>
        </w:tc>
        <w:tc>
          <w:tcPr>
            <w:tcW w:w="1301" w:type="dxa"/>
            <w:tcBorders>
              <w:top w:val="nil"/>
              <w:left w:val="nil"/>
              <w:bottom w:val="single" w:sz="4" w:space="0" w:color="000000"/>
              <w:right w:val="single" w:sz="4" w:space="0" w:color="000000"/>
            </w:tcBorders>
            <w:shd w:val="clear" w:color="auto" w:fill="auto"/>
          </w:tcPr>
          <w:p w14:paraId="1E17B590"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33</w:t>
            </w:r>
          </w:p>
        </w:tc>
        <w:tc>
          <w:tcPr>
            <w:tcW w:w="1166" w:type="dxa"/>
            <w:tcBorders>
              <w:top w:val="nil"/>
              <w:left w:val="nil"/>
              <w:bottom w:val="single" w:sz="4" w:space="0" w:color="000000"/>
              <w:right w:val="single" w:sz="4" w:space="0" w:color="000000"/>
            </w:tcBorders>
            <w:shd w:val="clear" w:color="auto" w:fill="auto"/>
          </w:tcPr>
          <w:p w14:paraId="0E9D0F89"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22</w:t>
            </w:r>
          </w:p>
        </w:tc>
        <w:tc>
          <w:tcPr>
            <w:tcW w:w="1436" w:type="dxa"/>
            <w:tcBorders>
              <w:top w:val="nil"/>
              <w:left w:val="nil"/>
              <w:bottom w:val="single" w:sz="4" w:space="0" w:color="000000"/>
              <w:right w:val="single" w:sz="4" w:space="0" w:color="000000"/>
            </w:tcBorders>
            <w:shd w:val="clear" w:color="auto" w:fill="auto"/>
          </w:tcPr>
          <w:p w14:paraId="3A69B36A"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39</w:t>
            </w:r>
          </w:p>
        </w:tc>
        <w:tc>
          <w:tcPr>
            <w:tcW w:w="1485" w:type="dxa"/>
            <w:tcBorders>
              <w:top w:val="nil"/>
              <w:left w:val="nil"/>
              <w:bottom w:val="single" w:sz="4" w:space="0" w:color="000000"/>
              <w:right w:val="single" w:sz="4" w:space="0" w:color="000000"/>
            </w:tcBorders>
            <w:shd w:val="clear" w:color="auto" w:fill="auto"/>
          </w:tcPr>
          <w:p w14:paraId="0414CFA4"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73</w:t>
            </w:r>
          </w:p>
        </w:tc>
        <w:tc>
          <w:tcPr>
            <w:tcW w:w="1878" w:type="dxa"/>
            <w:tcBorders>
              <w:top w:val="nil"/>
              <w:left w:val="nil"/>
              <w:bottom w:val="single" w:sz="4" w:space="0" w:color="000000"/>
              <w:right w:val="single" w:sz="4" w:space="0" w:color="000000"/>
            </w:tcBorders>
            <w:shd w:val="clear" w:color="auto" w:fill="auto"/>
          </w:tcPr>
          <w:p w14:paraId="2D6E69CC"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10</w:t>
            </w:r>
          </w:p>
        </w:tc>
      </w:tr>
      <w:tr w:rsidR="003C674D" w:rsidRPr="003C674D" w14:paraId="465904A0" w14:textId="77777777" w:rsidTr="00655B79">
        <w:trPr>
          <w:trHeight w:val="300"/>
          <w:jc w:val="center"/>
        </w:trPr>
        <w:tc>
          <w:tcPr>
            <w:tcW w:w="731" w:type="dxa"/>
            <w:tcBorders>
              <w:top w:val="nil"/>
              <w:left w:val="single" w:sz="4" w:space="0" w:color="000000"/>
              <w:bottom w:val="single" w:sz="4" w:space="0" w:color="000000"/>
              <w:right w:val="single" w:sz="4" w:space="0" w:color="000000"/>
            </w:tcBorders>
            <w:shd w:val="clear" w:color="auto" w:fill="auto"/>
            <w:hideMark/>
          </w:tcPr>
          <w:p w14:paraId="6E70F597"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 xml:space="preserve">2025-01-01 </w:t>
            </w:r>
          </w:p>
        </w:tc>
        <w:tc>
          <w:tcPr>
            <w:tcW w:w="1084" w:type="dxa"/>
            <w:tcBorders>
              <w:top w:val="nil"/>
              <w:left w:val="nil"/>
              <w:bottom w:val="single" w:sz="4" w:space="0" w:color="000000"/>
              <w:right w:val="single" w:sz="4" w:space="0" w:color="000000"/>
            </w:tcBorders>
            <w:shd w:val="clear" w:color="auto" w:fill="auto"/>
            <w:hideMark/>
          </w:tcPr>
          <w:p w14:paraId="7E8A91DF"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251</w:t>
            </w:r>
          </w:p>
        </w:tc>
        <w:tc>
          <w:tcPr>
            <w:tcW w:w="1301" w:type="dxa"/>
            <w:tcBorders>
              <w:top w:val="nil"/>
              <w:left w:val="nil"/>
              <w:bottom w:val="single" w:sz="4" w:space="0" w:color="000000"/>
              <w:right w:val="single" w:sz="4" w:space="0" w:color="000000"/>
            </w:tcBorders>
            <w:shd w:val="clear" w:color="auto" w:fill="auto"/>
            <w:hideMark/>
          </w:tcPr>
          <w:p w14:paraId="250B0722"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67</w:t>
            </w:r>
          </w:p>
        </w:tc>
        <w:tc>
          <w:tcPr>
            <w:tcW w:w="1166" w:type="dxa"/>
            <w:tcBorders>
              <w:top w:val="nil"/>
              <w:left w:val="nil"/>
              <w:bottom w:val="single" w:sz="4" w:space="0" w:color="000000"/>
              <w:right w:val="single" w:sz="4" w:space="0" w:color="000000"/>
            </w:tcBorders>
            <w:shd w:val="clear" w:color="auto" w:fill="auto"/>
            <w:hideMark/>
          </w:tcPr>
          <w:p w14:paraId="331D6537"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42</w:t>
            </w:r>
          </w:p>
        </w:tc>
        <w:tc>
          <w:tcPr>
            <w:tcW w:w="1436" w:type="dxa"/>
            <w:tcBorders>
              <w:top w:val="nil"/>
              <w:left w:val="nil"/>
              <w:bottom w:val="single" w:sz="4" w:space="0" w:color="000000"/>
              <w:right w:val="single" w:sz="4" w:space="0" w:color="000000"/>
            </w:tcBorders>
            <w:shd w:val="clear" w:color="auto" w:fill="auto"/>
            <w:hideMark/>
          </w:tcPr>
          <w:p w14:paraId="09C0BBDC"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46</w:t>
            </w:r>
          </w:p>
        </w:tc>
        <w:tc>
          <w:tcPr>
            <w:tcW w:w="1485" w:type="dxa"/>
            <w:tcBorders>
              <w:top w:val="nil"/>
              <w:left w:val="nil"/>
              <w:bottom w:val="single" w:sz="4" w:space="0" w:color="000000"/>
              <w:right w:val="single" w:sz="4" w:space="0" w:color="000000"/>
            </w:tcBorders>
            <w:shd w:val="clear" w:color="auto" w:fill="auto"/>
            <w:hideMark/>
          </w:tcPr>
          <w:p w14:paraId="41F3A856"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85</w:t>
            </w:r>
          </w:p>
        </w:tc>
        <w:tc>
          <w:tcPr>
            <w:tcW w:w="1878" w:type="dxa"/>
            <w:tcBorders>
              <w:top w:val="nil"/>
              <w:left w:val="nil"/>
              <w:bottom w:val="single" w:sz="4" w:space="0" w:color="000000"/>
              <w:right w:val="single" w:sz="4" w:space="0" w:color="000000"/>
            </w:tcBorders>
            <w:shd w:val="clear" w:color="auto" w:fill="auto"/>
            <w:hideMark/>
          </w:tcPr>
          <w:p w14:paraId="3B8DB4AC" w14:textId="77777777" w:rsidR="003C674D" w:rsidRPr="003C674D" w:rsidRDefault="003C674D" w:rsidP="003C674D">
            <w:pPr>
              <w:jc w:val="center"/>
              <w:rPr>
                <w:rFonts w:ascii="Times New Roman" w:hAnsi="Times New Roman"/>
                <w:color w:val="000000"/>
                <w:sz w:val="22"/>
                <w:szCs w:val="22"/>
              </w:rPr>
            </w:pPr>
            <w:r w:rsidRPr="003C674D">
              <w:rPr>
                <w:rFonts w:ascii="Times New Roman" w:hAnsi="Times New Roman"/>
                <w:color w:val="000000"/>
                <w:sz w:val="22"/>
                <w:szCs w:val="22"/>
              </w:rPr>
              <w:t>11</w:t>
            </w:r>
          </w:p>
        </w:tc>
      </w:tr>
    </w:tbl>
    <w:p w14:paraId="6013354E" w14:textId="77777777" w:rsidR="003C674D" w:rsidRPr="003C674D" w:rsidRDefault="003C674D" w:rsidP="003C674D">
      <w:pPr>
        <w:overflowPunct w:val="0"/>
        <w:jc w:val="both"/>
        <w:rPr>
          <w:rFonts w:ascii="Times New Roman" w:hAnsi="Times New Roman"/>
          <w:sz w:val="20"/>
        </w:rPr>
      </w:pPr>
      <w:r w:rsidRPr="003C674D">
        <w:rPr>
          <w:rFonts w:ascii="Times New Roman" w:hAnsi="Times New Roman"/>
          <w:sz w:val="20"/>
          <w:szCs w:val="24"/>
        </w:rPr>
        <w:t xml:space="preserve">                  Šaltiniai: Užimtumo tarnybos prie LR SADM duomenys.                                                           3. Lentelė.                          </w:t>
      </w:r>
    </w:p>
    <w:p w14:paraId="5BF0E09A" w14:textId="77777777" w:rsidR="003C674D" w:rsidRPr="003C674D" w:rsidRDefault="003C674D" w:rsidP="003C674D">
      <w:pPr>
        <w:tabs>
          <w:tab w:val="left" w:pos="851"/>
        </w:tabs>
        <w:spacing w:line="360" w:lineRule="auto"/>
        <w:jc w:val="both"/>
        <w:rPr>
          <w:rFonts w:ascii="Times New Roman" w:hAnsi="Times New Roman"/>
          <w:sz w:val="24"/>
          <w:szCs w:val="24"/>
        </w:rPr>
      </w:pPr>
    </w:p>
    <w:p w14:paraId="42E56A08" w14:textId="77777777" w:rsidR="003C674D" w:rsidRPr="003C674D" w:rsidRDefault="003C674D">
      <w:pPr>
        <w:numPr>
          <w:ilvl w:val="0"/>
          <w:numId w:val="1"/>
        </w:numPr>
        <w:tabs>
          <w:tab w:val="left" w:pos="851"/>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 xml:space="preserve">Užimtumo tarnybos duomenimis, 2024 m. į Užimtumo tarnybą kreipėsi </w:t>
      </w:r>
      <w:r w:rsidRPr="003C674D">
        <w:rPr>
          <w:rFonts w:ascii="Times New Roman" w:hAnsi="Times New Roman"/>
          <w:sz w:val="24"/>
          <w:szCs w:val="24"/>
        </w:rPr>
        <w:br/>
        <w:t xml:space="preserve">10 902 Kauno rajono darbo ieškančių asmenų, iš jų – 9 458 bedarbio statusą turintys asmenys. </w:t>
      </w:r>
    </w:p>
    <w:p w14:paraId="762198EF" w14:textId="77777777" w:rsidR="003C674D" w:rsidRPr="003C674D" w:rsidRDefault="003C674D">
      <w:pPr>
        <w:numPr>
          <w:ilvl w:val="0"/>
          <w:numId w:val="1"/>
        </w:numPr>
        <w:tabs>
          <w:tab w:val="left" w:pos="851"/>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lastRenderedPageBreak/>
        <w:t xml:space="preserve">1,5 tūkst. asmenų buvo nukreipti į aktyvias darbo rinkos politikos programas, iš jų 810 asmenų nukreipti į mokymus, 476 buvo įdarbinti subsidijuojant darbo vietą įmonėse, kiti keitė kompetencijas, stažavosi, savanoriavo ir pan. </w:t>
      </w:r>
    </w:p>
    <w:p w14:paraId="01F4F579" w14:textId="77777777" w:rsidR="003C674D" w:rsidRPr="003C674D" w:rsidRDefault="003C674D">
      <w:pPr>
        <w:numPr>
          <w:ilvl w:val="0"/>
          <w:numId w:val="1"/>
        </w:numPr>
        <w:tabs>
          <w:tab w:val="left" w:pos="851"/>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 xml:space="preserve">Užimtumo tarnyba 2024 m. į darbo rinką padėjo sugrįžti  7,5 tūkst. Kauno r. registruotų asmenų. 2024 m. neterminuotai pradėjo dirbti 6,8 tūkst. Kauno r. klientų, 721 pradėjo dirbti terminuotai ir 2,4 tūkst. Kauno r. klientų rinkosi veiklą pagal verslo liudijimą. </w:t>
      </w:r>
    </w:p>
    <w:p w14:paraId="2D79E51F" w14:textId="77777777" w:rsidR="003C674D" w:rsidRPr="003C674D" w:rsidRDefault="003C674D">
      <w:pPr>
        <w:numPr>
          <w:ilvl w:val="0"/>
          <w:numId w:val="1"/>
        </w:numPr>
        <w:tabs>
          <w:tab w:val="left" w:pos="851"/>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 xml:space="preserve">2024 m. Kauno r. savivaldybėje registruota 4,6 tūkst. laisvų darbo vietų, iš jų terminuotam įdarbinimui buvo užregistruota 190 laisvos darbo vietos. Daugiausiai darbuotojų 2024 m. ieškojo didmeninės ir mažmeninės prekybos bei variklinių transporto priemonių remonto, statybos, apdirbamosios gamybos bei administracinės ir aptarnavimo veiklas vykdantys darbdaviai. </w:t>
      </w:r>
    </w:p>
    <w:p w14:paraId="385798A7" w14:textId="77777777" w:rsidR="003C674D" w:rsidRPr="003C674D" w:rsidRDefault="003C674D">
      <w:pPr>
        <w:numPr>
          <w:ilvl w:val="0"/>
          <w:numId w:val="1"/>
        </w:numPr>
        <w:tabs>
          <w:tab w:val="left" w:pos="851"/>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Daugiausia registruota asmenų, ieškančių nekvalifikuotų atsitiktinių darbų, pakuotojų, reklamos, rinkodaros ir pardavimo specialistų, parduotuvių pardavėjų, automobilio vairuotojų bei administratoriaus darbo. Ieškoma ir pagalbinio darbo, apsaugos darbuotojo, valytojo, kirpėjo.</w:t>
      </w:r>
    </w:p>
    <w:p w14:paraId="1388069A" w14:textId="77777777" w:rsidR="003C674D" w:rsidRPr="003C674D" w:rsidRDefault="003C674D">
      <w:pPr>
        <w:numPr>
          <w:ilvl w:val="0"/>
          <w:numId w:val="1"/>
        </w:numPr>
        <w:spacing w:line="360" w:lineRule="auto"/>
        <w:ind w:left="0" w:firstLine="851"/>
        <w:contextualSpacing/>
        <w:jc w:val="both"/>
        <w:rPr>
          <w:rFonts w:ascii="Times New Roman" w:hAnsi="Times New Roman"/>
          <w:sz w:val="24"/>
          <w:szCs w:val="24"/>
        </w:rPr>
      </w:pPr>
      <w:r w:rsidRPr="003C674D">
        <w:rPr>
          <w:rFonts w:ascii="Times New Roman" w:hAnsi="Times New Roman"/>
          <w:color w:val="000000" w:themeColor="text1"/>
          <w:sz w:val="24"/>
          <w:szCs w:val="24"/>
        </w:rPr>
        <w:t xml:space="preserve">Įgyvendinant Savivaldybės Užimtumo didinimo 2024 metų programą, dalyvavo 111 Užimtumo tarnyboje registruotų asmenų, iš jų 49 – terminuoto įdarbinimo Priemonėje: </w:t>
      </w:r>
    </w:p>
    <w:tbl>
      <w:tblPr>
        <w:tblStyle w:val="Lentelstinklelis"/>
        <w:tblW w:w="9061" w:type="dxa"/>
        <w:jc w:val="center"/>
        <w:tblInd w:w="0" w:type="dxa"/>
        <w:tblLook w:val="04A0" w:firstRow="1" w:lastRow="0" w:firstColumn="1" w:lastColumn="0" w:noHBand="0" w:noVBand="1"/>
      </w:tblPr>
      <w:tblGrid>
        <w:gridCol w:w="556"/>
        <w:gridCol w:w="2133"/>
        <w:gridCol w:w="1559"/>
        <w:gridCol w:w="1559"/>
        <w:gridCol w:w="1559"/>
        <w:gridCol w:w="1695"/>
      </w:tblGrid>
      <w:tr w:rsidR="003C674D" w:rsidRPr="003C674D" w14:paraId="1331A807" w14:textId="77777777" w:rsidTr="00655B79">
        <w:trPr>
          <w:trHeight w:val="761"/>
          <w:jc w:val="center"/>
        </w:trPr>
        <w:tc>
          <w:tcPr>
            <w:tcW w:w="556" w:type="dxa"/>
            <w:tcBorders>
              <w:top w:val="single" w:sz="4" w:space="0" w:color="auto"/>
              <w:left w:val="single" w:sz="4" w:space="0" w:color="auto"/>
              <w:bottom w:val="single" w:sz="4" w:space="0" w:color="auto"/>
              <w:right w:val="single" w:sz="4" w:space="0" w:color="auto"/>
            </w:tcBorders>
            <w:shd w:val="clear" w:color="auto" w:fill="E7E6E6" w:themeFill="background2"/>
          </w:tcPr>
          <w:p w14:paraId="647203CE" w14:textId="77777777" w:rsidR="003C674D" w:rsidRPr="003C674D" w:rsidRDefault="003C674D">
            <w:pPr>
              <w:numPr>
                <w:ilvl w:val="0"/>
                <w:numId w:val="1"/>
              </w:numPr>
              <w:contextualSpacing/>
              <w:jc w:val="center"/>
              <w:rPr>
                <w:rFonts w:ascii="Times New Roman" w:hAnsi="Times New Roman"/>
                <w:b/>
                <w:sz w:val="24"/>
                <w:szCs w:val="24"/>
              </w:rPr>
            </w:pPr>
          </w:p>
        </w:tc>
        <w:tc>
          <w:tcPr>
            <w:tcW w:w="2133" w:type="dxa"/>
            <w:tcBorders>
              <w:top w:val="single" w:sz="4" w:space="0" w:color="auto"/>
              <w:left w:val="single" w:sz="4" w:space="0" w:color="auto"/>
              <w:bottom w:val="single" w:sz="4" w:space="0" w:color="auto"/>
              <w:right w:val="single" w:sz="4" w:space="0" w:color="auto"/>
            </w:tcBorders>
            <w:shd w:val="clear" w:color="auto" w:fill="E7E6E6" w:themeFill="background2"/>
          </w:tcPr>
          <w:p w14:paraId="0508E914" w14:textId="77777777" w:rsidR="003C674D" w:rsidRPr="003C674D" w:rsidRDefault="003C674D" w:rsidP="003C674D">
            <w:pPr>
              <w:jc w:val="center"/>
              <w:rPr>
                <w:rFonts w:ascii="Times New Roman" w:hAnsi="Times New Roman"/>
                <w:b/>
                <w:sz w:val="24"/>
                <w:szCs w:val="24"/>
              </w:rPr>
            </w:pPr>
          </w:p>
        </w:tc>
        <w:tc>
          <w:tcPr>
            <w:tcW w:w="6372"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1E265AE" w14:textId="77777777" w:rsidR="003C674D" w:rsidRPr="003C674D" w:rsidRDefault="003C674D" w:rsidP="003C674D">
            <w:pPr>
              <w:jc w:val="center"/>
              <w:rPr>
                <w:rFonts w:ascii="Times New Roman" w:hAnsi="Times New Roman"/>
                <w:bCs/>
                <w:sz w:val="24"/>
                <w:szCs w:val="24"/>
              </w:rPr>
            </w:pPr>
            <w:r w:rsidRPr="003C674D">
              <w:rPr>
                <w:rFonts w:ascii="Times New Roman" w:hAnsi="Times New Roman"/>
                <w:bCs/>
                <w:sz w:val="24"/>
                <w:szCs w:val="24"/>
              </w:rPr>
              <w:t>Priemonėse dalyvavusių asmenų skaičius</w:t>
            </w:r>
          </w:p>
          <w:p w14:paraId="25638DA5" w14:textId="77777777" w:rsidR="003C674D" w:rsidRPr="003C674D" w:rsidRDefault="003C674D" w:rsidP="003C674D">
            <w:pPr>
              <w:jc w:val="center"/>
              <w:rPr>
                <w:rFonts w:ascii="Times New Roman" w:hAnsi="Times New Roman"/>
                <w:bCs/>
                <w:sz w:val="24"/>
                <w:szCs w:val="24"/>
              </w:rPr>
            </w:pPr>
            <w:r w:rsidRPr="003C674D">
              <w:rPr>
                <w:rFonts w:ascii="Times New Roman" w:hAnsi="Times New Roman"/>
                <w:bCs/>
                <w:sz w:val="24"/>
                <w:szCs w:val="24"/>
              </w:rPr>
              <w:t xml:space="preserve"> (terminuotas asmenų įdarbinimas)</w:t>
            </w:r>
          </w:p>
          <w:p w14:paraId="773DA6B7" w14:textId="77777777" w:rsidR="003C674D" w:rsidRPr="003C674D" w:rsidRDefault="003C674D" w:rsidP="003C674D">
            <w:pPr>
              <w:jc w:val="center"/>
              <w:rPr>
                <w:rFonts w:ascii="Times New Roman" w:hAnsi="Times New Roman"/>
                <w:sz w:val="24"/>
                <w:szCs w:val="24"/>
                <w:lang w:eastAsia="en-US"/>
              </w:rPr>
            </w:pPr>
          </w:p>
        </w:tc>
      </w:tr>
      <w:tr w:rsidR="003C674D" w:rsidRPr="003C674D" w14:paraId="77C7BBD4"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tcPr>
          <w:p w14:paraId="7307DD98" w14:textId="77777777" w:rsidR="003C674D" w:rsidRPr="003C674D" w:rsidRDefault="003C674D" w:rsidP="003C674D">
            <w:pPr>
              <w:rPr>
                <w:rFonts w:ascii="Times New Roman" w:hAnsi="Times New Roman"/>
                <w:sz w:val="24"/>
                <w:szCs w:val="24"/>
                <w:lang w:eastAsia="en-US"/>
              </w:rPr>
            </w:pPr>
          </w:p>
        </w:tc>
        <w:tc>
          <w:tcPr>
            <w:tcW w:w="2133" w:type="dxa"/>
            <w:tcBorders>
              <w:top w:val="single" w:sz="4" w:space="0" w:color="auto"/>
              <w:left w:val="single" w:sz="4" w:space="0" w:color="auto"/>
              <w:bottom w:val="single" w:sz="4" w:space="0" w:color="auto"/>
              <w:right w:val="single" w:sz="4" w:space="0" w:color="auto"/>
            </w:tcBorders>
          </w:tcPr>
          <w:p w14:paraId="0FCD143F" w14:textId="77777777" w:rsidR="003C674D" w:rsidRPr="003C674D" w:rsidRDefault="003C674D" w:rsidP="003C674D">
            <w:pPr>
              <w:jc w:val="center"/>
              <w:rPr>
                <w:rFonts w:ascii="Times New Roman" w:hAnsi="Times New Roman"/>
                <w:sz w:val="24"/>
                <w:szCs w:val="24"/>
                <w:lang w:eastAsia="en-US"/>
              </w:rPr>
            </w:pPr>
          </w:p>
        </w:tc>
        <w:tc>
          <w:tcPr>
            <w:tcW w:w="3118" w:type="dxa"/>
            <w:gridSpan w:val="2"/>
            <w:tcBorders>
              <w:top w:val="single" w:sz="4" w:space="0" w:color="auto"/>
              <w:left w:val="single" w:sz="4" w:space="0" w:color="auto"/>
              <w:bottom w:val="single" w:sz="4" w:space="0" w:color="auto"/>
              <w:right w:val="single" w:sz="4" w:space="0" w:color="auto"/>
            </w:tcBorders>
          </w:tcPr>
          <w:p w14:paraId="498E6A7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2023 m.</w:t>
            </w:r>
          </w:p>
        </w:tc>
        <w:tc>
          <w:tcPr>
            <w:tcW w:w="3254" w:type="dxa"/>
            <w:gridSpan w:val="2"/>
            <w:tcBorders>
              <w:top w:val="single" w:sz="4" w:space="0" w:color="auto"/>
              <w:left w:val="single" w:sz="4" w:space="0" w:color="auto"/>
              <w:bottom w:val="single" w:sz="4" w:space="0" w:color="auto"/>
              <w:right w:val="single" w:sz="4" w:space="0" w:color="auto"/>
            </w:tcBorders>
          </w:tcPr>
          <w:p w14:paraId="779705D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2024 m.</w:t>
            </w:r>
          </w:p>
        </w:tc>
      </w:tr>
      <w:tr w:rsidR="003C674D" w:rsidRPr="003C674D" w14:paraId="49A50C80"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447DB32B"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Eil. Nr.</w:t>
            </w:r>
          </w:p>
        </w:tc>
        <w:tc>
          <w:tcPr>
            <w:tcW w:w="2133" w:type="dxa"/>
            <w:tcBorders>
              <w:top w:val="single" w:sz="4" w:space="0" w:color="auto"/>
              <w:left w:val="single" w:sz="4" w:space="0" w:color="auto"/>
              <w:bottom w:val="single" w:sz="4" w:space="0" w:color="auto"/>
              <w:right w:val="single" w:sz="4" w:space="0" w:color="auto"/>
            </w:tcBorders>
          </w:tcPr>
          <w:p w14:paraId="254F5BE7"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Darbdavys (seniūnija)</w:t>
            </w:r>
          </w:p>
        </w:tc>
        <w:tc>
          <w:tcPr>
            <w:tcW w:w="1559" w:type="dxa"/>
            <w:tcBorders>
              <w:top w:val="single" w:sz="4" w:space="0" w:color="auto"/>
              <w:left w:val="single" w:sz="4" w:space="0" w:color="auto"/>
              <w:bottom w:val="single" w:sz="4" w:space="0" w:color="auto"/>
              <w:right w:val="single" w:sz="4" w:space="0" w:color="auto"/>
            </w:tcBorders>
          </w:tcPr>
          <w:p w14:paraId="70857A3E"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Skirta</w:t>
            </w:r>
          </w:p>
          <w:p w14:paraId="4BAF87BF" w14:textId="77777777" w:rsidR="003C674D" w:rsidRPr="003C674D" w:rsidRDefault="003C674D" w:rsidP="003C674D">
            <w:pPr>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7F7818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Įdarbinta</w:t>
            </w:r>
          </w:p>
          <w:p w14:paraId="5D30FB65" w14:textId="77777777" w:rsidR="003C674D" w:rsidRPr="003C674D" w:rsidRDefault="003C674D" w:rsidP="003C674D">
            <w:pPr>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B294C5A"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Skirta</w:t>
            </w:r>
          </w:p>
          <w:p w14:paraId="3A62D96F" w14:textId="77777777" w:rsidR="003C674D" w:rsidRPr="003C674D" w:rsidRDefault="003C674D" w:rsidP="003C674D">
            <w:pPr>
              <w:rPr>
                <w:rFonts w:ascii="Times New Roman" w:hAnsi="Times New Roman"/>
                <w:sz w:val="24"/>
                <w:szCs w:val="24"/>
                <w:lang w:eastAsia="en-US"/>
              </w:rPr>
            </w:pPr>
          </w:p>
        </w:tc>
        <w:tc>
          <w:tcPr>
            <w:tcW w:w="1695" w:type="dxa"/>
            <w:tcBorders>
              <w:top w:val="single" w:sz="4" w:space="0" w:color="auto"/>
              <w:left w:val="single" w:sz="4" w:space="0" w:color="auto"/>
              <w:bottom w:val="single" w:sz="4" w:space="0" w:color="auto"/>
              <w:right w:val="single" w:sz="4" w:space="0" w:color="auto"/>
            </w:tcBorders>
            <w:hideMark/>
          </w:tcPr>
          <w:p w14:paraId="7D3C4EC3"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Įdarbinta</w:t>
            </w:r>
          </w:p>
          <w:p w14:paraId="0DA68E12" w14:textId="77777777" w:rsidR="003C674D" w:rsidRPr="003C674D" w:rsidRDefault="003C674D" w:rsidP="003C674D">
            <w:pPr>
              <w:jc w:val="center"/>
              <w:rPr>
                <w:rFonts w:ascii="Times New Roman" w:hAnsi="Times New Roman"/>
                <w:sz w:val="24"/>
                <w:szCs w:val="24"/>
                <w:lang w:eastAsia="en-US"/>
              </w:rPr>
            </w:pPr>
          </w:p>
        </w:tc>
      </w:tr>
      <w:tr w:rsidR="003C674D" w:rsidRPr="003C674D" w14:paraId="75B6B0D0"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5BDD5AAC"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w:t>
            </w:r>
          </w:p>
        </w:tc>
        <w:tc>
          <w:tcPr>
            <w:tcW w:w="2133" w:type="dxa"/>
            <w:tcBorders>
              <w:top w:val="single" w:sz="4" w:space="0" w:color="auto"/>
              <w:left w:val="single" w:sz="4" w:space="0" w:color="auto"/>
              <w:bottom w:val="single" w:sz="4" w:space="0" w:color="auto"/>
              <w:right w:val="single" w:sz="4" w:space="0" w:color="auto"/>
            </w:tcBorders>
          </w:tcPr>
          <w:p w14:paraId="55EC5FF6"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Akademijos</w:t>
            </w:r>
          </w:p>
        </w:tc>
        <w:tc>
          <w:tcPr>
            <w:tcW w:w="1559" w:type="dxa"/>
            <w:tcBorders>
              <w:top w:val="single" w:sz="4" w:space="0" w:color="auto"/>
              <w:left w:val="single" w:sz="4" w:space="0" w:color="auto"/>
              <w:bottom w:val="single" w:sz="4" w:space="0" w:color="auto"/>
              <w:right w:val="single" w:sz="4" w:space="0" w:color="auto"/>
            </w:tcBorders>
            <w:vAlign w:val="center"/>
          </w:tcPr>
          <w:p w14:paraId="682A344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3624BF25"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C5B420"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D9C069E"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49C51E39"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7CAA1E7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w:t>
            </w:r>
          </w:p>
        </w:tc>
        <w:tc>
          <w:tcPr>
            <w:tcW w:w="2133" w:type="dxa"/>
            <w:tcBorders>
              <w:top w:val="single" w:sz="4" w:space="0" w:color="auto"/>
              <w:left w:val="single" w:sz="4" w:space="0" w:color="auto"/>
              <w:bottom w:val="single" w:sz="4" w:space="0" w:color="auto"/>
              <w:right w:val="single" w:sz="4" w:space="0" w:color="auto"/>
            </w:tcBorders>
          </w:tcPr>
          <w:p w14:paraId="255F7B4C"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Alšėnų</w:t>
            </w:r>
          </w:p>
        </w:tc>
        <w:tc>
          <w:tcPr>
            <w:tcW w:w="1559" w:type="dxa"/>
            <w:tcBorders>
              <w:top w:val="single" w:sz="4" w:space="0" w:color="auto"/>
              <w:left w:val="single" w:sz="4" w:space="0" w:color="auto"/>
              <w:bottom w:val="single" w:sz="4" w:space="0" w:color="auto"/>
              <w:right w:val="single" w:sz="4" w:space="0" w:color="auto"/>
            </w:tcBorders>
            <w:vAlign w:val="center"/>
          </w:tcPr>
          <w:p w14:paraId="5B09D1C6"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C1777E"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11D917"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EC229A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5B874406"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2A2544C7"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3.</w:t>
            </w:r>
          </w:p>
        </w:tc>
        <w:tc>
          <w:tcPr>
            <w:tcW w:w="2133" w:type="dxa"/>
            <w:tcBorders>
              <w:top w:val="single" w:sz="4" w:space="0" w:color="auto"/>
              <w:left w:val="single" w:sz="4" w:space="0" w:color="auto"/>
              <w:bottom w:val="single" w:sz="4" w:space="0" w:color="auto"/>
              <w:right w:val="single" w:sz="4" w:space="0" w:color="auto"/>
            </w:tcBorders>
          </w:tcPr>
          <w:p w14:paraId="72CC587D"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Babtų</w:t>
            </w:r>
          </w:p>
        </w:tc>
        <w:tc>
          <w:tcPr>
            <w:tcW w:w="1559" w:type="dxa"/>
            <w:tcBorders>
              <w:top w:val="single" w:sz="4" w:space="0" w:color="auto"/>
              <w:left w:val="single" w:sz="4" w:space="0" w:color="auto"/>
              <w:bottom w:val="single" w:sz="4" w:space="0" w:color="auto"/>
              <w:right w:val="single" w:sz="4" w:space="0" w:color="auto"/>
            </w:tcBorders>
            <w:vAlign w:val="center"/>
          </w:tcPr>
          <w:p w14:paraId="246B9737"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4E94F0B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E3B795"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506A8D2"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r>
      <w:tr w:rsidR="003C674D" w:rsidRPr="003C674D" w14:paraId="0BD87BBE"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6F497BC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4.</w:t>
            </w:r>
          </w:p>
        </w:tc>
        <w:tc>
          <w:tcPr>
            <w:tcW w:w="2133" w:type="dxa"/>
            <w:tcBorders>
              <w:top w:val="single" w:sz="4" w:space="0" w:color="auto"/>
              <w:left w:val="single" w:sz="4" w:space="0" w:color="auto"/>
              <w:bottom w:val="single" w:sz="4" w:space="0" w:color="auto"/>
              <w:right w:val="single" w:sz="4" w:space="0" w:color="auto"/>
            </w:tcBorders>
          </w:tcPr>
          <w:p w14:paraId="711FA809"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Batniavos</w:t>
            </w:r>
          </w:p>
        </w:tc>
        <w:tc>
          <w:tcPr>
            <w:tcW w:w="1559" w:type="dxa"/>
            <w:tcBorders>
              <w:top w:val="single" w:sz="4" w:space="0" w:color="auto"/>
              <w:left w:val="single" w:sz="4" w:space="0" w:color="auto"/>
              <w:bottom w:val="single" w:sz="4" w:space="0" w:color="auto"/>
              <w:right w:val="single" w:sz="4" w:space="0" w:color="auto"/>
            </w:tcBorders>
            <w:vAlign w:val="center"/>
          </w:tcPr>
          <w:p w14:paraId="667E5A94"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865BC9B"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013BCF"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460423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r>
      <w:tr w:rsidR="003C674D" w:rsidRPr="003C674D" w14:paraId="11E4C4DD"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0B0FDA01"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5.</w:t>
            </w:r>
          </w:p>
        </w:tc>
        <w:tc>
          <w:tcPr>
            <w:tcW w:w="2133" w:type="dxa"/>
            <w:tcBorders>
              <w:top w:val="single" w:sz="4" w:space="0" w:color="auto"/>
              <w:left w:val="single" w:sz="4" w:space="0" w:color="auto"/>
              <w:bottom w:val="single" w:sz="4" w:space="0" w:color="auto"/>
              <w:right w:val="single" w:sz="4" w:space="0" w:color="auto"/>
            </w:tcBorders>
          </w:tcPr>
          <w:p w14:paraId="7A2B11C1"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Čekiškės</w:t>
            </w:r>
          </w:p>
        </w:tc>
        <w:tc>
          <w:tcPr>
            <w:tcW w:w="1559" w:type="dxa"/>
            <w:tcBorders>
              <w:top w:val="single" w:sz="4" w:space="0" w:color="auto"/>
              <w:left w:val="single" w:sz="4" w:space="0" w:color="auto"/>
              <w:bottom w:val="single" w:sz="4" w:space="0" w:color="auto"/>
              <w:right w:val="single" w:sz="4" w:space="0" w:color="auto"/>
            </w:tcBorders>
            <w:vAlign w:val="center"/>
          </w:tcPr>
          <w:p w14:paraId="61551E8F"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1982411F"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090EB1"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7855A44"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5</w:t>
            </w:r>
          </w:p>
        </w:tc>
      </w:tr>
      <w:tr w:rsidR="003C674D" w:rsidRPr="003C674D" w14:paraId="7F7AEB7A"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106103D1"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6.</w:t>
            </w:r>
          </w:p>
        </w:tc>
        <w:tc>
          <w:tcPr>
            <w:tcW w:w="2133" w:type="dxa"/>
            <w:tcBorders>
              <w:top w:val="single" w:sz="4" w:space="0" w:color="auto"/>
              <w:left w:val="single" w:sz="4" w:space="0" w:color="auto"/>
              <w:bottom w:val="single" w:sz="4" w:space="0" w:color="auto"/>
              <w:right w:val="single" w:sz="4" w:space="0" w:color="auto"/>
            </w:tcBorders>
          </w:tcPr>
          <w:p w14:paraId="74DC1EDF"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Domeikavos</w:t>
            </w:r>
          </w:p>
        </w:tc>
        <w:tc>
          <w:tcPr>
            <w:tcW w:w="1559" w:type="dxa"/>
            <w:tcBorders>
              <w:top w:val="single" w:sz="4" w:space="0" w:color="auto"/>
              <w:left w:val="single" w:sz="4" w:space="0" w:color="auto"/>
              <w:bottom w:val="single" w:sz="4" w:space="0" w:color="auto"/>
              <w:right w:val="single" w:sz="4" w:space="0" w:color="auto"/>
            </w:tcBorders>
            <w:vAlign w:val="center"/>
          </w:tcPr>
          <w:p w14:paraId="3B9948D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028B8B37"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68782D"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8D71CDB"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r>
      <w:tr w:rsidR="003C674D" w:rsidRPr="003C674D" w14:paraId="65B1DFFA"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29A8931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7.</w:t>
            </w:r>
          </w:p>
        </w:tc>
        <w:tc>
          <w:tcPr>
            <w:tcW w:w="2133" w:type="dxa"/>
            <w:tcBorders>
              <w:top w:val="single" w:sz="4" w:space="0" w:color="auto"/>
              <w:left w:val="single" w:sz="4" w:space="0" w:color="auto"/>
              <w:bottom w:val="single" w:sz="4" w:space="0" w:color="auto"/>
              <w:right w:val="single" w:sz="4" w:space="0" w:color="auto"/>
            </w:tcBorders>
          </w:tcPr>
          <w:p w14:paraId="431ED4CF"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Ežerėlio</w:t>
            </w:r>
          </w:p>
        </w:tc>
        <w:tc>
          <w:tcPr>
            <w:tcW w:w="1559" w:type="dxa"/>
            <w:tcBorders>
              <w:top w:val="single" w:sz="4" w:space="0" w:color="auto"/>
              <w:left w:val="single" w:sz="4" w:space="0" w:color="auto"/>
              <w:bottom w:val="single" w:sz="4" w:space="0" w:color="auto"/>
              <w:right w:val="single" w:sz="4" w:space="0" w:color="auto"/>
            </w:tcBorders>
            <w:vAlign w:val="center"/>
          </w:tcPr>
          <w:p w14:paraId="10D6D6AE"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F67DA5"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3EF1C4"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4CDC958"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596D61B8"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73EA5DB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8.</w:t>
            </w:r>
          </w:p>
        </w:tc>
        <w:tc>
          <w:tcPr>
            <w:tcW w:w="2133" w:type="dxa"/>
            <w:tcBorders>
              <w:top w:val="single" w:sz="4" w:space="0" w:color="auto"/>
              <w:left w:val="single" w:sz="4" w:space="0" w:color="auto"/>
              <w:bottom w:val="single" w:sz="4" w:space="0" w:color="auto"/>
              <w:right w:val="single" w:sz="4" w:space="0" w:color="auto"/>
            </w:tcBorders>
          </w:tcPr>
          <w:p w14:paraId="01197ABE"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Garliavos</w:t>
            </w:r>
          </w:p>
        </w:tc>
        <w:tc>
          <w:tcPr>
            <w:tcW w:w="1559" w:type="dxa"/>
            <w:tcBorders>
              <w:top w:val="single" w:sz="4" w:space="0" w:color="auto"/>
              <w:left w:val="single" w:sz="4" w:space="0" w:color="auto"/>
              <w:bottom w:val="single" w:sz="4" w:space="0" w:color="auto"/>
              <w:right w:val="single" w:sz="4" w:space="0" w:color="auto"/>
            </w:tcBorders>
            <w:vAlign w:val="center"/>
          </w:tcPr>
          <w:p w14:paraId="49866EE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4559E11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1C6195"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FD8562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r>
      <w:tr w:rsidR="003C674D" w:rsidRPr="003C674D" w14:paraId="22BDBEC0"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544AA3FD"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9.</w:t>
            </w:r>
          </w:p>
        </w:tc>
        <w:tc>
          <w:tcPr>
            <w:tcW w:w="2133" w:type="dxa"/>
            <w:tcBorders>
              <w:top w:val="single" w:sz="4" w:space="0" w:color="auto"/>
              <w:left w:val="single" w:sz="4" w:space="0" w:color="auto"/>
              <w:bottom w:val="single" w:sz="4" w:space="0" w:color="auto"/>
              <w:right w:val="single" w:sz="4" w:space="0" w:color="auto"/>
            </w:tcBorders>
          </w:tcPr>
          <w:p w14:paraId="4E81FA13"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Garliavos apyl.</w:t>
            </w:r>
          </w:p>
        </w:tc>
        <w:tc>
          <w:tcPr>
            <w:tcW w:w="1559" w:type="dxa"/>
            <w:tcBorders>
              <w:top w:val="single" w:sz="4" w:space="0" w:color="auto"/>
              <w:left w:val="single" w:sz="4" w:space="0" w:color="auto"/>
              <w:bottom w:val="single" w:sz="4" w:space="0" w:color="auto"/>
              <w:right w:val="single" w:sz="4" w:space="0" w:color="auto"/>
            </w:tcBorders>
            <w:vAlign w:val="center"/>
          </w:tcPr>
          <w:p w14:paraId="6B638A95"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C8749B"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2E4F86"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0ADB322"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r>
      <w:tr w:rsidR="003C674D" w:rsidRPr="003C674D" w14:paraId="7DCA6739"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644B8359"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10.</w:t>
            </w:r>
          </w:p>
        </w:tc>
        <w:tc>
          <w:tcPr>
            <w:tcW w:w="2133" w:type="dxa"/>
            <w:tcBorders>
              <w:top w:val="single" w:sz="4" w:space="0" w:color="auto"/>
              <w:left w:val="single" w:sz="4" w:space="0" w:color="auto"/>
              <w:bottom w:val="single" w:sz="4" w:space="0" w:color="auto"/>
              <w:right w:val="single" w:sz="4" w:space="0" w:color="auto"/>
            </w:tcBorders>
          </w:tcPr>
          <w:p w14:paraId="3FFACA22"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Kačerginės</w:t>
            </w:r>
          </w:p>
        </w:tc>
        <w:tc>
          <w:tcPr>
            <w:tcW w:w="1559" w:type="dxa"/>
            <w:tcBorders>
              <w:top w:val="single" w:sz="4" w:space="0" w:color="auto"/>
              <w:left w:val="single" w:sz="4" w:space="0" w:color="auto"/>
              <w:bottom w:val="single" w:sz="4" w:space="0" w:color="auto"/>
              <w:right w:val="single" w:sz="4" w:space="0" w:color="auto"/>
            </w:tcBorders>
            <w:vAlign w:val="center"/>
          </w:tcPr>
          <w:p w14:paraId="13293F97"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79310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5B146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52B00C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452C23FB"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58E7031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11.</w:t>
            </w:r>
          </w:p>
        </w:tc>
        <w:tc>
          <w:tcPr>
            <w:tcW w:w="2133" w:type="dxa"/>
            <w:tcBorders>
              <w:top w:val="single" w:sz="4" w:space="0" w:color="auto"/>
              <w:left w:val="single" w:sz="4" w:space="0" w:color="auto"/>
              <w:bottom w:val="single" w:sz="4" w:space="0" w:color="auto"/>
              <w:right w:val="single" w:sz="4" w:space="0" w:color="auto"/>
            </w:tcBorders>
          </w:tcPr>
          <w:p w14:paraId="316EA6A2"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Karmėlavos</w:t>
            </w:r>
          </w:p>
        </w:tc>
        <w:tc>
          <w:tcPr>
            <w:tcW w:w="1559" w:type="dxa"/>
            <w:tcBorders>
              <w:top w:val="single" w:sz="4" w:space="0" w:color="auto"/>
              <w:left w:val="single" w:sz="4" w:space="0" w:color="auto"/>
              <w:bottom w:val="single" w:sz="4" w:space="0" w:color="auto"/>
              <w:right w:val="single" w:sz="4" w:space="0" w:color="auto"/>
            </w:tcBorders>
            <w:vAlign w:val="center"/>
          </w:tcPr>
          <w:p w14:paraId="7CFB5270"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969EB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543224"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214707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r>
      <w:tr w:rsidR="003C674D" w:rsidRPr="003C674D" w14:paraId="60C0B1CC"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496D3358"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12.</w:t>
            </w:r>
          </w:p>
        </w:tc>
        <w:tc>
          <w:tcPr>
            <w:tcW w:w="2133" w:type="dxa"/>
            <w:tcBorders>
              <w:top w:val="single" w:sz="4" w:space="0" w:color="auto"/>
              <w:left w:val="single" w:sz="4" w:space="0" w:color="auto"/>
              <w:bottom w:val="single" w:sz="4" w:space="0" w:color="auto"/>
              <w:right w:val="single" w:sz="4" w:space="0" w:color="auto"/>
            </w:tcBorders>
          </w:tcPr>
          <w:p w14:paraId="7D5784AA"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Kulautuvos</w:t>
            </w:r>
          </w:p>
        </w:tc>
        <w:tc>
          <w:tcPr>
            <w:tcW w:w="1559" w:type="dxa"/>
            <w:tcBorders>
              <w:top w:val="single" w:sz="4" w:space="0" w:color="auto"/>
              <w:left w:val="single" w:sz="4" w:space="0" w:color="auto"/>
              <w:bottom w:val="single" w:sz="4" w:space="0" w:color="auto"/>
              <w:right w:val="single" w:sz="4" w:space="0" w:color="auto"/>
            </w:tcBorders>
            <w:vAlign w:val="center"/>
          </w:tcPr>
          <w:p w14:paraId="21897BD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260101D"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5706C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7AC86E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09CB9D9B"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5B71C370"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13.</w:t>
            </w:r>
          </w:p>
        </w:tc>
        <w:tc>
          <w:tcPr>
            <w:tcW w:w="2133" w:type="dxa"/>
            <w:tcBorders>
              <w:top w:val="single" w:sz="4" w:space="0" w:color="auto"/>
              <w:left w:val="single" w:sz="4" w:space="0" w:color="auto"/>
              <w:bottom w:val="single" w:sz="4" w:space="0" w:color="auto"/>
              <w:right w:val="single" w:sz="4" w:space="0" w:color="auto"/>
            </w:tcBorders>
          </w:tcPr>
          <w:p w14:paraId="366381D8"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 xml:space="preserve">Lapių </w:t>
            </w:r>
          </w:p>
        </w:tc>
        <w:tc>
          <w:tcPr>
            <w:tcW w:w="1559" w:type="dxa"/>
            <w:tcBorders>
              <w:top w:val="single" w:sz="4" w:space="0" w:color="auto"/>
              <w:left w:val="single" w:sz="4" w:space="0" w:color="auto"/>
              <w:bottom w:val="single" w:sz="4" w:space="0" w:color="auto"/>
              <w:right w:val="single" w:sz="4" w:space="0" w:color="auto"/>
            </w:tcBorders>
            <w:vAlign w:val="center"/>
          </w:tcPr>
          <w:p w14:paraId="2279135D"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E88CB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6BD9BF"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98D38E0"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4940B2ED"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6369E792"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14.</w:t>
            </w:r>
          </w:p>
        </w:tc>
        <w:tc>
          <w:tcPr>
            <w:tcW w:w="2133" w:type="dxa"/>
            <w:tcBorders>
              <w:top w:val="single" w:sz="4" w:space="0" w:color="auto"/>
              <w:left w:val="single" w:sz="4" w:space="0" w:color="auto"/>
              <w:bottom w:val="single" w:sz="4" w:space="0" w:color="auto"/>
              <w:right w:val="single" w:sz="4" w:space="0" w:color="auto"/>
            </w:tcBorders>
          </w:tcPr>
          <w:p w14:paraId="70E5C8F1"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Linksmakalnio</w:t>
            </w:r>
          </w:p>
        </w:tc>
        <w:tc>
          <w:tcPr>
            <w:tcW w:w="1559" w:type="dxa"/>
            <w:tcBorders>
              <w:top w:val="single" w:sz="4" w:space="0" w:color="auto"/>
              <w:left w:val="single" w:sz="4" w:space="0" w:color="auto"/>
              <w:bottom w:val="single" w:sz="4" w:space="0" w:color="auto"/>
              <w:right w:val="single" w:sz="4" w:space="0" w:color="auto"/>
            </w:tcBorders>
            <w:vAlign w:val="center"/>
          </w:tcPr>
          <w:p w14:paraId="3A5ABDE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46337C84"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3C9FA2"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0C4CED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1CA5A2D1"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521D023E"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15.</w:t>
            </w:r>
          </w:p>
        </w:tc>
        <w:tc>
          <w:tcPr>
            <w:tcW w:w="2133" w:type="dxa"/>
            <w:tcBorders>
              <w:top w:val="single" w:sz="4" w:space="0" w:color="auto"/>
              <w:left w:val="single" w:sz="4" w:space="0" w:color="auto"/>
              <w:bottom w:val="single" w:sz="4" w:space="0" w:color="auto"/>
              <w:right w:val="single" w:sz="4" w:space="0" w:color="auto"/>
            </w:tcBorders>
          </w:tcPr>
          <w:p w14:paraId="3DEBDDB0"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Neveronių</w:t>
            </w:r>
          </w:p>
        </w:tc>
        <w:tc>
          <w:tcPr>
            <w:tcW w:w="1559" w:type="dxa"/>
            <w:tcBorders>
              <w:top w:val="single" w:sz="4" w:space="0" w:color="auto"/>
              <w:left w:val="single" w:sz="4" w:space="0" w:color="auto"/>
              <w:bottom w:val="single" w:sz="4" w:space="0" w:color="auto"/>
              <w:right w:val="single" w:sz="4" w:space="0" w:color="auto"/>
            </w:tcBorders>
            <w:vAlign w:val="center"/>
          </w:tcPr>
          <w:p w14:paraId="1CA488A0"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6F1A13E0"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796997"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AD4B162"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2D073BA9"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1963F7D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16.</w:t>
            </w:r>
          </w:p>
        </w:tc>
        <w:tc>
          <w:tcPr>
            <w:tcW w:w="2133" w:type="dxa"/>
            <w:tcBorders>
              <w:top w:val="single" w:sz="4" w:space="0" w:color="auto"/>
              <w:left w:val="single" w:sz="4" w:space="0" w:color="auto"/>
              <w:bottom w:val="single" w:sz="4" w:space="0" w:color="auto"/>
              <w:right w:val="single" w:sz="4" w:space="0" w:color="auto"/>
            </w:tcBorders>
          </w:tcPr>
          <w:p w14:paraId="2B2759EE"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Raudondvario</w:t>
            </w:r>
          </w:p>
        </w:tc>
        <w:tc>
          <w:tcPr>
            <w:tcW w:w="1559" w:type="dxa"/>
            <w:tcBorders>
              <w:top w:val="single" w:sz="4" w:space="0" w:color="auto"/>
              <w:left w:val="single" w:sz="4" w:space="0" w:color="auto"/>
              <w:bottom w:val="single" w:sz="4" w:space="0" w:color="auto"/>
              <w:right w:val="single" w:sz="4" w:space="0" w:color="auto"/>
            </w:tcBorders>
            <w:vAlign w:val="center"/>
          </w:tcPr>
          <w:p w14:paraId="1FB1D81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BC32B8"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F26515"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81C9ED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r>
      <w:tr w:rsidR="003C674D" w:rsidRPr="003C674D" w14:paraId="216C0D7B"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09887ECA"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17.</w:t>
            </w:r>
          </w:p>
        </w:tc>
        <w:tc>
          <w:tcPr>
            <w:tcW w:w="2133" w:type="dxa"/>
            <w:tcBorders>
              <w:top w:val="single" w:sz="4" w:space="0" w:color="auto"/>
              <w:left w:val="single" w:sz="4" w:space="0" w:color="auto"/>
              <w:bottom w:val="single" w:sz="4" w:space="0" w:color="auto"/>
              <w:right w:val="single" w:sz="4" w:space="0" w:color="auto"/>
            </w:tcBorders>
          </w:tcPr>
          <w:p w14:paraId="5474CE4B"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Ringaudų</w:t>
            </w:r>
          </w:p>
        </w:tc>
        <w:tc>
          <w:tcPr>
            <w:tcW w:w="1559" w:type="dxa"/>
            <w:tcBorders>
              <w:top w:val="single" w:sz="4" w:space="0" w:color="auto"/>
              <w:left w:val="single" w:sz="4" w:space="0" w:color="auto"/>
              <w:bottom w:val="single" w:sz="4" w:space="0" w:color="auto"/>
              <w:right w:val="single" w:sz="4" w:space="0" w:color="auto"/>
            </w:tcBorders>
            <w:vAlign w:val="center"/>
          </w:tcPr>
          <w:p w14:paraId="201AF4F4"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5340916"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4D5FA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B5BF252"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7362A0C4"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494DEB6B"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18.</w:t>
            </w:r>
          </w:p>
        </w:tc>
        <w:tc>
          <w:tcPr>
            <w:tcW w:w="2133" w:type="dxa"/>
            <w:tcBorders>
              <w:top w:val="single" w:sz="4" w:space="0" w:color="auto"/>
              <w:left w:val="single" w:sz="4" w:space="0" w:color="auto"/>
              <w:bottom w:val="single" w:sz="4" w:space="0" w:color="auto"/>
              <w:right w:val="single" w:sz="4" w:space="0" w:color="auto"/>
            </w:tcBorders>
          </w:tcPr>
          <w:p w14:paraId="4D4D4981"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 xml:space="preserve">Rokų </w:t>
            </w:r>
          </w:p>
        </w:tc>
        <w:tc>
          <w:tcPr>
            <w:tcW w:w="1559" w:type="dxa"/>
            <w:tcBorders>
              <w:top w:val="single" w:sz="4" w:space="0" w:color="auto"/>
              <w:left w:val="single" w:sz="4" w:space="0" w:color="auto"/>
              <w:bottom w:val="single" w:sz="4" w:space="0" w:color="auto"/>
              <w:right w:val="single" w:sz="4" w:space="0" w:color="auto"/>
            </w:tcBorders>
            <w:vAlign w:val="center"/>
          </w:tcPr>
          <w:p w14:paraId="2909A757"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72658766"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08493E"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4EEACA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0</w:t>
            </w:r>
          </w:p>
        </w:tc>
      </w:tr>
      <w:tr w:rsidR="003C674D" w:rsidRPr="003C674D" w14:paraId="2731DA2B"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29BE631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19.</w:t>
            </w:r>
          </w:p>
        </w:tc>
        <w:tc>
          <w:tcPr>
            <w:tcW w:w="2133" w:type="dxa"/>
            <w:tcBorders>
              <w:top w:val="single" w:sz="4" w:space="0" w:color="auto"/>
              <w:left w:val="single" w:sz="4" w:space="0" w:color="auto"/>
              <w:bottom w:val="single" w:sz="4" w:space="0" w:color="auto"/>
              <w:right w:val="single" w:sz="4" w:space="0" w:color="auto"/>
            </w:tcBorders>
          </w:tcPr>
          <w:p w14:paraId="07EBFB6B"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Samylų</w:t>
            </w:r>
          </w:p>
        </w:tc>
        <w:tc>
          <w:tcPr>
            <w:tcW w:w="1559" w:type="dxa"/>
            <w:tcBorders>
              <w:top w:val="single" w:sz="4" w:space="0" w:color="auto"/>
              <w:left w:val="single" w:sz="4" w:space="0" w:color="auto"/>
              <w:bottom w:val="single" w:sz="4" w:space="0" w:color="auto"/>
              <w:right w:val="single" w:sz="4" w:space="0" w:color="auto"/>
            </w:tcBorders>
            <w:vAlign w:val="center"/>
          </w:tcPr>
          <w:p w14:paraId="0318E2B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6CBEF5E0"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EB795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89A6C1A"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284B2B46"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3E8B6A5B"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20.</w:t>
            </w:r>
          </w:p>
        </w:tc>
        <w:tc>
          <w:tcPr>
            <w:tcW w:w="2133" w:type="dxa"/>
            <w:tcBorders>
              <w:top w:val="single" w:sz="4" w:space="0" w:color="auto"/>
              <w:left w:val="single" w:sz="4" w:space="0" w:color="auto"/>
              <w:bottom w:val="single" w:sz="4" w:space="0" w:color="auto"/>
              <w:right w:val="single" w:sz="4" w:space="0" w:color="auto"/>
            </w:tcBorders>
          </w:tcPr>
          <w:p w14:paraId="057BEA85"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Taurakiemio</w:t>
            </w:r>
          </w:p>
        </w:tc>
        <w:tc>
          <w:tcPr>
            <w:tcW w:w="1559" w:type="dxa"/>
            <w:tcBorders>
              <w:top w:val="single" w:sz="4" w:space="0" w:color="auto"/>
              <w:left w:val="single" w:sz="4" w:space="0" w:color="auto"/>
              <w:bottom w:val="single" w:sz="4" w:space="0" w:color="auto"/>
              <w:right w:val="single" w:sz="4" w:space="0" w:color="auto"/>
            </w:tcBorders>
            <w:vAlign w:val="center"/>
          </w:tcPr>
          <w:p w14:paraId="7DE0B266"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28FB3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39AF04"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2FBFDF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r>
      <w:tr w:rsidR="003C674D" w:rsidRPr="003C674D" w14:paraId="78A55E08"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66C7F2E5"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lastRenderedPageBreak/>
              <w:t>21.</w:t>
            </w:r>
          </w:p>
        </w:tc>
        <w:tc>
          <w:tcPr>
            <w:tcW w:w="2133" w:type="dxa"/>
            <w:tcBorders>
              <w:top w:val="single" w:sz="4" w:space="0" w:color="auto"/>
              <w:left w:val="single" w:sz="4" w:space="0" w:color="auto"/>
              <w:bottom w:val="single" w:sz="4" w:space="0" w:color="auto"/>
              <w:right w:val="single" w:sz="4" w:space="0" w:color="auto"/>
            </w:tcBorders>
          </w:tcPr>
          <w:p w14:paraId="1FBE2C8F"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Užliedžių</w:t>
            </w:r>
          </w:p>
        </w:tc>
        <w:tc>
          <w:tcPr>
            <w:tcW w:w="1559" w:type="dxa"/>
            <w:tcBorders>
              <w:top w:val="single" w:sz="4" w:space="0" w:color="auto"/>
              <w:left w:val="single" w:sz="4" w:space="0" w:color="auto"/>
              <w:bottom w:val="single" w:sz="4" w:space="0" w:color="auto"/>
              <w:right w:val="single" w:sz="4" w:space="0" w:color="auto"/>
            </w:tcBorders>
            <w:vAlign w:val="center"/>
          </w:tcPr>
          <w:p w14:paraId="5DC03CF8"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2EFD9D3"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84446D"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B41DC1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295B2A0C"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7B154686"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22.</w:t>
            </w:r>
          </w:p>
        </w:tc>
        <w:tc>
          <w:tcPr>
            <w:tcW w:w="2133" w:type="dxa"/>
            <w:tcBorders>
              <w:top w:val="single" w:sz="4" w:space="0" w:color="auto"/>
              <w:left w:val="single" w:sz="4" w:space="0" w:color="auto"/>
              <w:bottom w:val="single" w:sz="4" w:space="0" w:color="auto"/>
              <w:right w:val="single" w:sz="4" w:space="0" w:color="auto"/>
            </w:tcBorders>
          </w:tcPr>
          <w:p w14:paraId="7A3F78FD"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Vandžiogalos</w:t>
            </w:r>
          </w:p>
        </w:tc>
        <w:tc>
          <w:tcPr>
            <w:tcW w:w="1559" w:type="dxa"/>
            <w:tcBorders>
              <w:top w:val="single" w:sz="4" w:space="0" w:color="auto"/>
              <w:left w:val="single" w:sz="4" w:space="0" w:color="auto"/>
              <w:bottom w:val="single" w:sz="4" w:space="0" w:color="auto"/>
              <w:right w:val="single" w:sz="4" w:space="0" w:color="auto"/>
            </w:tcBorders>
            <w:vAlign w:val="center"/>
          </w:tcPr>
          <w:p w14:paraId="70117AEB"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69A570B2"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E14917"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FBDA475"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r>
      <w:tr w:rsidR="003C674D" w:rsidRPr="003C674D" w14:paraId="5FC05FB8"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2968C67B"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23.</w:t>
            </w:r>
          </w:p>
        </w:tc>
        <w:tc>
          <w:tcPr>
            <w:tcW w:w="2133" w:type="dxa"/>
            <w:tcBorders>
              <w:top w:val="single" w:sz="4" w:space="0" w:color="auto"/>
              <w:left w:val="single" w:sz="4" w:space="0" w:color="auto"/>
              <w:bottom w:val="single" w:sz="4" w:space="0" w:color="auto"/>
              <w:right w:val="single" w:sz="4" w:space="0" w:color="auto"/>
            </w:tcBorders>
          </w:tcPr>
          <w:p w14:paraId="33933866"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Vilkijos apyl.</w:t>
            </w:r>
          </w:p>
        </w:tc>
        <w:tc>
          <w:tcPr>
            <w:tcW w:w="1559" w:type="dxa"/>
            <w:tcBorders>
              <w:top w:val="single" w:sz="4" w:space="0" w:color="auto"/>
              <w:left w:val="single" w:sz="4" w:space="0" w:color="auto"/>
              <w:bottom w:val="single" w:sz="4" w:space="0" w:color="auto"/>
              <w:right w:val="single" w:sz="4" w:space="0" w:color="auto"/>
            </w:tcBorders>
            <w:vAlign w:val="center"/>
          </w:tcPr>
          <w:p w14:paraId="31E7611F"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85A15B"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8BD14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FE8C452"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r>
      <w:tr w:rsidR="003C674D" w:rsidRPr="003C674D" w14:paraId="5A7FD7AD"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7224FF31"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24.</w:t>
            </w:r>
          </w:p>
        </w:tc>
        <w:tc>
          <w:tcPr>
            <w:tcW w:w="2133" w:type="dxa"/>
            <w:tcBorders>
              <w:top w:val="single" w:sz="4" w:space="0" w:color="auto"/>
              <w:left w:val="single" w:sz="4" w:space="0" w:color="auto"/>
              <w:bottom w:val="single" w:sz="4" w:space="0" w:color="auto"/>
              <w:right w:val="single" w:sz="4" w:space="0" w:color="auto"/>
            </w:tcBorders>
          </w:tcPr>
          <w:p w14:paraId="105EE37B"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Vilkijos</w:t>
            </w:r>
          </w:p>
        </w:tc>
        <w:tc>
          <w:tcPr>
            <w:tcW w:w="1559" w:type="dxa"/>
            <w:tcBorders>
              <w:top w:val="single" w:sz="4" w:space="0" w:color="auto"/>
              <w:left w:val="single" w:sz="4" w:space="0" w:color="auto"/>
              <w:bottom w:val="single" w:sz="4" w:space="0" w:color="auto"/>
              <w:right w:val="single" w:sz="4" w:space="0" w:color="auto"/>
            </w:tcBorders>
            <w:vAlign w:val="center"/>
          </w:tcPr>
          <w:p w14:paraId="23498FB8"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581B5BDC"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9FF4D8"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F80C7DB"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4</w:t>
            </w:r>
          </w:p>
        </w:tc>
      </w:tr>
      <w:tr w:rsidR="003C674D" w:rsidRPr="003C674D" w14:paraId="1C01A29E"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hideMark/>
          </w:tcPr>
          <w:p w14:paraId="7581EDBF" w14:textId="77777777" w:rsidR="003C674D" w:rsidRPr="003C674D" w:rsidRDefault="003C674D" w:rsidP="003C674D">
            <w:pPr>
              <w:jc w:val="center"/>
              <w:rPr>
                <w:rFonts w:ascii="Times New Roman" w:hAnsi="Times New Roman"/>
                <w:sz w:val="24"/>
                <w:szCs w:val="24"/>
                <w:lang w:eastAsia="en-US"/>
              </w:rPr>
            </w:pPr>
            <w:r w:rsidRPr="003C674D">
              <w:rPr>
                <w:rFonts w:ascii="Times New Roman" w:hAnsi="Times New Roman"/>
                <w:sz w:val="24"/>
                <w:szCs w:val="24"/>
                <w:lang w:eastAsia="en-US"/>
              </w:rPr>
              <w:t>25.</w:t>
            </w:r>
          </w:p>
        </w:tc>
        <w:tc>
          <w:tcPr>
            <w:tcW w:w="2133" w:type="dxa"/>
            <w:tcBorders>
              <w:top w:val="single" w:sz="4" w:space="0" w:color="auto"/>
              <w:left w:val="single" w:sz="4" w:space="0" w:color="auto"/>
              <w:bottom w:val="single" w:sz="4" w:space="0" w:color="auto"/>
              <w:right w:val="single" w:sz="4" w:space="0" w:color="auto"/>
            </w:tcBorders>
          </w:tcPr>
          <w:p w14:paraId="148AB9CA" w14:textId="77777777" w:rsidR="003C674D" w:rsidRPr="003C674D" w:rsidRDefault="003C674D" w:rsidP="003C674D">
            <w:pPr>
              <w:rPr>
                <w:rFonts w:ascii="Times New Roman" w:hAnsi="Times New Roman"/>
                <w:sz w:val="24"/>
                <w:szCs w:val="24"/>
                <w:lang w:eastAsia="en-US"/>
              </w:rPr>
            </w:pPr>
            <w:r w:rsidRPr="003C674D">
              <w:rPr>
                <w:rFonts w:ascii="Times New Roman" w:hAnsi="Times New Roman"/>
                <w:sz w:val="24"/>
                <w:szCs w:val="24"/>
                <w:lang w:eastAsia="en-US"/>
              </w:rPr>
              <w:t>Zapyškio</w:t>
            </w:r>
          </w:p>
        </w:tc>
        <w:tc>
          <w:tcPr>
            <w:tcW w:w="1559" w:type="dxa"/>
            <w:tcBorders>
              <w:top w:val="single" w:sz="4" w:space="0" w:color="auto"/>
              <w:left w:val="single" w:sz="4" w:space="0" w:color="auto"/>
              <w:bottom w:val="single" w:sz="4" w:space="0" w:color="auto"/>
              <w:right w:val="single" w:sz="4" w:space="0" w:color="auto"/>
            </w:tcBorders>
            <w:vAlign w:val="center"/>
          </w:tcPr>
          <w:p w14:paraId="2906488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7119748D"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993BAE"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9938929" w14:textId="77777777" w:rsidR="003C674D" w:rsidRPr="003C674D" w:rsidRDefault="003C674D" w:rsidP="003C674D">
            <w:pPr>
              <w:jc w:val="center"/>
              <w:rPr>
                <w:rFonts w:ascii="Times New Roman" w:hAnsi="Times New Roman"/>
                <w:sz w:val="24"/>
                <w:szCs w:val="24"/>
              </w:rPr>
            </w:pPr>
            <w:r w:rsidRPr="003C674D">
              <w:rPr>
                <w:rFonts w:ascii="Times New Roman" w:hAnsi="Times New Roman"/>
                <w:sz w:val="24"/>
                <w:szCs w:val="24"/>
              </w:rPr>
              <w:t>3</w:t>
            </w:r>
          </w:p>
        </w:tc>
      </w:tr>
      <w:tr w:rsidR="003C674D" w:rsidRPr="003C674D" w14:paraId="19045039" w14:textId="77777777" w:rsidTr="00655B79">
        <w:trPr>
          <w:jc w:val="center"/>
        </w:trPr>
        <w:tc>
          <w:tcPr>
            <w:tcW w:w="556" w:type="dxa"/>
            <w:tcBorders>
              <w:top w:val="single" w:sz="4" w:space="0" w:color="auto"/>
              <w:left w:val="single" w:sz="4" w:space="0" w:color="auto"/>
              <w:bottom w:val="single" w:sz="4" w:space="0" w:color="auto"/>
              <w:right w:val="single" w:sz="4" w:space="0" w:color="auto"/>
            </w:tcBorders>
          </w:tcPr>
          <w:p w14:paraId="05C84E22" w14:textId="77777777" w:rsidR="003C674D" w:rsidRPr="003C674D" w:rsidRDefault="003C674D" w:rsidP="003C674D">
            <w:pPr>
              <w:rPr>
                <w:rFonts w:ascii="Times New Roman" w:hAnsi="Times New Roman"/>
                <w:sz w:val="24"/>
                <w:szCs w:val="24"/>
                <w:lang w:eastAsia="en-US"/>
              </w:rPr>
            </w:pPr>
          </w:p>
        </w:tc>
        <w:tc>
          <w:tcPr>
            <w:tcW w:w="2133" w:type="dxa"/>
            <w:tcBorders>
              <w:top w:val="single" w:sz="4" w:space="0" w:color="auto"/>
              <w:left w:val="single" w:sz="4" w:space="0" w:color="auto"/>
              <w:bottom w:val="single" w:sz="4" w:space="0" w:color="auto"/>
              <w:right w:val="single" w:sz="4" w:space="0" w:color="auto"/>
            </w:tcBorders>
          </w:tcPr>
          <w:p w14:paraId="706A33CF" w14:textId="77777777" w:rsidR="003C674D" w:rsidRPr="003C674D" w:rsidRDefault="003C674D" w:rsidP="003C674D">
            <w:pPr>
              <w:rPr>
                <w:rFonts w:ascii="Times New Roman" w:hAnsi="Times New Roman"/>
                <w:b/>
                <w:bCs/>
                <w:sz w:val="24"/>
                <w:szCs w:val="24"/>
                <w:lang w:eastAsia="en-US"/>
              </w:rPr>
            </w:pPr>
            <w:r w:rsidRPr="003C674D">
              <w:rPr>
                <w:rFonts w:ascii="Times New Roman" w:hAnsi="Times New Roman"/>
                <w:b/>
                <w:bCs/>
                <w:sz w:val="24"/>
                <w:szCs w:val="24"/>
                <w:lang w:eastAsia="en-US"/>
              </w:rPr>
              <w:t>Iš viso:</w:t>
            </w:r>
          </w:p>
        </w:tc>
        <w:tc>
          <w:tcPr>
            <w:tcW w:w="1559" w:type="dxa"/>
            <w:tcBorders>
              <w:top w:val="single" w:sz="4" w:space="0" w:color="auto"/>
              <w:left w:val="single" w:sz="4" w:space="0" w:color="auto"/>
              <w:bottom w:val="single" w:sz="4" w:space="0" w:color="auto"/>
              <w:right w:val="single" w:sz="4" w:space="0" w:color="auto"/>
            </w:tcBorders>
            <w:vAlign w:val="center"/>
          </w:tcPr>
          <w:p w14:paraId="355274A6" w14:textId="77777777" w:rsidR="003C674D" w:rsidRPr="003C674D" w:rsidRDefault="003C674D" w:rsidP="003C674D">
            <w:pPr>
              <w:jc w:val="center"/>
              <w:rPr>
                <w:rFonts w:ascii="Times New Roman" w:hAnsi="Times New Roman"/>
                <w:b/>
                <w:bCs/>
                <w:sz w:val="24"/>
                <w:szCs w:val="24"/>
              </w:rPr>
            </w:pPr>
            <w:r w:rsidRPr="003C674D">
              <w:rPr>
                <w:rFonts w:ascii="Times New Roman" w:hAnsi="Times New Roman"/>
                <w:b/>
                <w:bCs/>
                <w:sz w:val="24"/>
                <w:szCs w:val="24"/>
              </w:rPr>
              <w:t>64</w:t>
            </w:r>
          </w:p>
        </w:tc>
        <w:tc>
          <w:tcPr>
            <w:tcW w:w="1559" w:type="dxa"/>
            <w:tcBorders>
              <w:top w:val="single" w:sz="4" w:space="0" w:color="auto"/>
              <w:left w:val="single" w:sz="4" w:space="0" w:color="auto"/>
              <w:bottom w:val="single" w:sz="4" w:space="0" w:color="auto"/>
              <w:right w:val="single" w:sz="4" w:space="0" w:color="auto"/>
            </w:tcBorders>
            <w:vAlign w:val="center"/>
          </w:tcPr>
          <w:p w14:paraId="3751E63D" w14:textId="77777777" w:rsidR="003C674D" w:rsidRPr="003C674D" w:rsidRDefault="003C674D" w:rsidP="003C674D">
            <w:pPr>
              <w:jc w:val="center"/>
              <w:rPr>
                <w:rFonts w:ascii="Times New Roman" w:hAnsi="Times New Roman"/>
                <w:b/>
                <w:bCs/>
                <w:sz w:val="24"/>
                <w:szCs w:val="24"/>
              </w:rPr>
            </w:pPr>
            <w:r w:rsidRPr="003C674D">
              <w:rPr>
                <w:rFonts w:ascii="Times New Roman" w:hAnsi="Times New Roman"/>
                <w:b/>
                <w:bCs/>
                <w:sz w:val="24"/>
                <w:szCs w:val="24"/>
              </w:rPr>
              <w:t>72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FA7525" w14:textId="77777777" w:rsidR="003C674D" w:rsidRPr="003C674D" w:rsidRDefault="003C674D" w:rsidP="003C674D">
            <w:pPr>
              <w:jc w:val="center"/>
              <w:rPr>
                <w:rFonts w:ascii="Times New Roman" w:hAnsi="Times New Roman"/>
                <w:b/>
                <w:bCs/>
                <w:sz w:val="24"/>
                <w:szCs w:val="24"/>
              </w:rPr>
            </w:pPr>
            <w:r w:rsidRPr="003C674D">
              <w:rPr>
                <w:rFonts w:ascii="Times New Roman" w:hAnsi="Times New Roman"/>
                <w:b/>
                <w:bCs/>
                <w:sz w:val="24"/>
                <w:szCs w:val="24"/>
              </w:rPr>
              <w:t>36</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26CF51E" w14:textId="77777777" w:rsidR="003C674D" w:rsidRPr="003C674D" w:rsidRDefault="003C674D" w:rsidP="003C674D">
            <w:pPr>
              <w:jc w:val="center"/>
              <w:rPr>
                <w:rFonts w:ascii="Times New Roman" w:hAnsi="Times New Roman"/>
                <w:b/>
                <w:bCs/>
                <w:sz w:val="24"/>
                <w:szCs w:val="24"/>
              </w:rPr>
            </w:pPr>
            <w:r w:rsidRPr="003C674D">
              <w:rPr>
                <w:rFonts w:ascii="Times New Roman" w:hAnsi="Times New Roman"/>
                <w:b/>
                <w:bCs/>
                <w:sz w:val="24"/>
                <w:szCs w:val="24"/>
              </w:rPr>
              <w:t>49</w:t>
            </w:r>
          </w:p>
        </w:tc>
      </w:tr>
    </w:tbl>
    <w:p w14:paraId="558669C1" w14:textId="77777777" w:rsidR="003C674D" w:rsidRPr="003C674D" w:rsidRDefault="003C674D" w:rsidP="003C674D">
      <w:pPr>
        <w:tabs>
          <w:tab w:val="left" w:pos="851"/>
          <w:tab w:val="left" w:pos="6086"/>
        </w:tabs>
        <w:ind w:firstLine="851"/>
        <w:rPr>
          <w:rFonts w:ascii="Times New Roman" w:hAnsi="Times New Roman"/>
          <w:sz w:val="20"/>
        </w:rPr>
      </w:pPr>
      <w:r w:rsidRPr="003C674D">
        <w:rPr>
          <w:rFonts w:ascii="Times New Roman" w:hAnsi="Times New Roman"/>
          <w:b/>
          <w:bCs/>
          <w:sz w:val="24"/>
          <w:szCs w:val="24"/>
        </w:rPr>
        <w:tab/>
        <w:t xml:space="preserve">                                     </w:t>
      </w:r>
      <w:r w:rsidRPr="003C674D">
        <w:rPr>
          <w:rFonts w:ascii="Times New Roman" w:hAnsi="Times New Roman"/>
          <w:sz w:val="20"/>
        </w:rPr>
        <w:t>4 lentelė.</w:t>
      </w:r>
    </w:p>
    <w:p w14:paraId="20940328" w14:textId="77777777" w:rsidR="003C674D" w:rsidRPr="003C674D" w:rsidRDefault="003C674D" w:rsidP="003C674D">
      <w:pPr>
        <w:tabs>
          <w:tab w:val="left" w:pos="851"/>
        </w:tabs>
        <w:spacing w:line="360" w:lineRule="auto"/>
        <w:ind w:left="851"/>
        <w:contextualSpacing/>
        <w:jc w:val="both"/>
        <w:rPr>
          <w:rFonts w:ascii="Times New Roman" w:hAnsi="Times New Roman"/>
          <w:sz w:val="24"/>
          <w:szCs w:val="24"/>
        </w:rPr>
      </w:pPr>
    </w:p>
    <w:p w14:paraId="6949DA8A" w14:textId="77777777" w:rsidR="003C674D" w:rsidRPr="003C674D" w:rsidRDefault="003C674D" w:rsidP="008F347B">
      <w:pPr>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Programos paslaugos, skirtos Tikslinių grupių įsidarbinimo aplinkybėms pašalinti, buvo teikiamos 68 asmenims, iš jų 18 numatytas paslaugų tęstinumas. Kauno rajono savivaldybės 2024 m. Darbo rinkai besirengiantiems asmenims, suteiktos informavimo ir konsultavimo paslaugos, tarpininkavimo ir atstovavimo paslaugos, gerovės konsultanto paslaugos, socialinio darbuotojo paslaugos, priklausomybių konsultanto paslaugos, pavėžėjimo paslaugos, individualios ir grupinės motyvacijos didinimo paslaugos, grupinės finansinio raštingumo paslaugos, odontologo paslaugos, teisinio konsultavimo ir atstovavimo paslaugos ir viešojo transporto paslaugos.</w:t>
      </w:r>
    </w:p>
    <w:bookmarkEnd w:id="1"/>
    <w:bookmarkEnd w:id="2"/>
    <w:p w14:paraId="5151C523" w14:textId="77777777" w:rsidR="003C674D" w:rsidRPr="003C674D" w:rsidRDefault="003C674D" w:rsidP="008F347B">
      <w:pPr>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Užimtumo didinimo 2024 m. programai buvo panaudota 218,70 tūkst. Eur, iš jų – 52,6 tūkst. Eur paslaugoms ir atvejo vadybininko darbo užmokesčiui, 166,1 tūkst. Eur priemonėms ir administravimo išlaidoms. Užimtumo didinimo 2024 metų programos įgyvendinimui buvo panaudotos visos skirtos lėšos.</w:t>
      </w:r>
    </w:p>
    <w:p w14:paraId="4904A3DC" w14:textId="63D49948" w:rsidR="003C674D" w:rsidRPr="003C674D" w:rsidRDefault="003C674D" w:rsidP="008F347B">
      <w:pPr>
        <w:numPr>
          <w:ilvl w:val="0"/>
          <w:numId w:val="4"/>
        </w:numPr>
        <w:spacing w:line="360" w:lineRule="auto"/>
        <w:ind w:left="0" w:firstLine="851"/>
        <w:contextualSpacing/>
        <w:jc w:val="both"/>
        <w:rPr>
          <w:rFonts w:ascii="Times New Roman" w:hAnsi="Times New Roman"/>
          <w:color w:val="000000" w:themeColor="text1"/>
          <w:sz w:val="24"/>
          <w:szCs w:val="24"/>
        </w:rPr>
      </w:pPr>
      <w:r w:rsidRPr="003C674D">
        <w:rPr>
          <w:rFonts w:ascii="Times New Roman" w:hAnsi="Times New Roman"/>
          <w:color w:val="000000" w:themeColor="text1"/>
          <w:sz w:val="24"/>
          <w:szCs w:val="24"/>
        </w:rPr>
        <w:t>2024 m. I–I</w:t>
      </w:r>
      <w:r w:rsidR="00694390">
        <w:rPr>
          <w:rFonts w:ascii="Times New Roman" w:hAnsi="Times New Roman"/>
          <w:color w:val="000000" w:themeColor="text1"/>
          <w:sz w:val="24"/>
          <w:szCs w:val="24"/>
        </w:rPr>
        <w:t>V</w:t>
      </w:r>
      <w:r w:rsidRPr="003C674D">
        <w:rPr>
          <w:rFonts w:ascii="Times New Roman" w:hAnsi="Times New Roman"/>
          <w:color w:val="000000" w:themeColor="text1"/>
          <w:sz w:val="24"/>
          <w:szCs w:val="24"/>
        </w:rPr>
        <w:t xml:space="preserve"> ketvirčio Paslaugų teikimo ir Priemonių įgyvendinimo vertinimas:</w:t>
      </w:r>
    </w:p>
    <w:p w14:paraId="520F0816" w14:textId="51C775BF"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color w:val="000000" w:themeColor="text1"/>
          <w:sz w:val="24"/>
          <w:szCs w:val="24"/>
          <w:lang w:eastAsia="en-US"/>
        </w:rPr>
      </w:pPr>
      <w:r w:rsidRPr="003C674D">
        <w:rPr>
          <w:rFonts w:ascii="Times New Roman" w:eastAsia="Calibri" w:hAnsi="Times New Roman"/>
          <w:color w:val="000000" w:themeColor="text1"/>
          <w:sz w:val="24"/>
          <w:szCs w:val="24"/>
          <w:lang w:eastAsia="en-US"/>
        </w:rPr>
        <w:t>asmenų dalis iš Programos dalyvių skaičiaus, kuri pasibaigus Programai per 6 mėnesius dirbo arba vykdė savarankišką veiklą – 42,</w:t>
      </w:r>
      <w:r w:rsidR="009C1F47">
        <w:rPr>
          <w:rFonts w:ascii="Times New Roman" w:eastAsia="Calibri" w:hAnsi="Times New Roman"/>
          <w:color w:val="000000" w:themeColor="text1"/>
          <w:sz w:val="24"/>
          <w:szCs w:val="24"/>
          <w:lang w:eastAsia="en-US"/>
        </w:rPr>
        <w:t>5</w:t>
      </w:r>
      <w:r w:rsidRPr="003C674D">
        <w:rPr>
          <w:rFonts w:ascii="Times New Roman" w:eastAsia="Calibri" w:hAnsi="Times New Roman"/>
          <w:color w:val="000000" w:themeColor="text1"/>
          <w:sz w:val="24"/>
          <w:szCs w:val="24"/>
          <w:lang w:eastAsia="en-US"/>
        </w:rPr>
        <w:t xml:space="preserve"> proc. (šalyje – 2</w:t>
      </w:r>
      <w:r w:rsidR="009C1F47">
        <w:rPr>
          <w:rFonts w:ascii="Times New Roman" w:eastAsia="Calibri" w:hAnsi="Times New Roman"/>
          <w:color w:val="000000" w:themeColor="text1"/>
          <w:sz w:val="24"/>
          <w:szCs w:val="24"/>
          <w:lang w:eastAsia="en-US"/>
        </w:rPr>
        <w:t>9</w:t>
      </w:r>
      <w:r w:rsidRPr="003C674D">
        <w:rPr>
          <w:rFonts w:ascii="Times New Roman" w:eastAsia="Calibri" w:hAnsi="Times New Roman"/>
          <w:color w:val="000000" w:themeColor="text1"/>
          <w:sz w:val="24"/>
          <w:szCs w:val="24"/>
          <w:lang w:eastAsia="en-US"/>
        </w:rPr>
        <w:t>,</w:t>
      </w:r>
      <w:r w:rsidR="009C1F47">
        <w:rPr>
          <w:rFonts w:ascii="Times New Roman" w:eastAsia="Calibri" w:hAnsi="Times New Roman"/>
          <w:color w:val="000000" w:themeColor="text1"/>
          <w:sz w:val="24"/>
          <w:szCs w:val="24"/>
          <w:lang w:eastAsia="en-US"/>
        </w:rPr>
        <w:t>2</w:t>
      </w:r>
      <w:r w:rsidRPr="003C674D">
        <w:rPr>
          <w:rFonts w:ascii="Times New Roman" w:eastAsia="Calibri" w:hAnsi="Times New Roman"/>
          <w:color w:val="000000" w:themeColor="text1"/>
          <w:sz w:val="24"/>
          <w:szCs w:val="24"/>
          <w:lang w:eastAsia="en-US"/>
        </w:rPr>
        <w:t xml:space="preserve"> proc.);</w:t>
      </w:r>
    </w:p>
    <w:p w14:paraId="25B613AD" w14:textId="73B3F69B"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color w:val="000000" w:themeColor="text1"/>
          <w:sz w:val="24"/>
          <w:szCs w:val="24"/>
          <w:lang w:eastAsia="en-US"/>
        </w:rPr>
      </w:pPr>
      <w:r w:rsidRPr="003C674D">
        <w:rPr>
          <w:rFonts w:ascii="Times New Roman" w:eastAsia="Calibri" w:hAnsi="Times New Roman"/>
          <w:color w:val="000000" w:themeColor="text1"/>
          <w:sz w:val="24"/>
          <w:szCs w:val="24"/>
          <w:lang w:eastAsia="en-US"/>
        </w:rPr>
        <w:t>asmenų dalis iš Programos dalyvių skaičiaus, kuri pasibaigus Programai po 6 mėnesių dirbo arba vykdė savarankišką veiklą – 26,5 proc. (šalyje – 18,</w:t>
      </w:r>
      <w:r w:rsidR="00694390">
        <w:rPr>
          <w:rFonts w:ascii="Times New Roman" w:eastAsia="Calibri" w:hAnsi="Times New Roman"/>
          <w:color w:val="000000" w:themeColor="text1"/>
          <w:sz w:val="24"/>
          <w:szCs w:val="24"/>
          <w:lang w:eastAsia="en-US"/>
        </w:rPr>
        <w:t>0</w:t>
      </w:r>
      <w:r w:rsidRPr="003C674D">
        <w:rPr>
          <w:rFonts w:ascii="Times New Roman" w:eastAsia="Calibri" w:hAnsi="Times New Roman"/>
          <w:color w:val="000000" w:themeColor="text1"/>
          <w:sz w:val="24"/>
          <w:szCs w:val="24"/>
          <w:lang w:eastAsia="en-US"/>
        </w:rPr>
        <w:t xml:space="preserve"> proc.).</w:t>
      </w:r>
    </w:p>
    <w:p w14:paraId="551DABF6" w14:textId="77777777" w:rsidR="003C674D" w:rsidRPr="003C674D" w:rsidRDefault="003C674D" w:rsidP="003C674D">
      <w:pPr>
        <w:spacing w:line="360" w:lineRule="auto"/>
        <w:ind w:firstLine="851"/>
        <w:jc w:val="both"/>
        <w:rPr>
          <w:rFonts w:ascii="Times New Roman" w:hAnsi="Times New Roman"/>
          <w:sz w:val="24"/>
          <w:szCs w:val="24"/>
        </w:rPr>
      </w:pPr>
    </w:p>
    <w:p w14:paraId="6E5AED95" w14:textId="77777777" w:rsidR="003C674D" w:rsidRPr="003C674D" w:rsidRDefault="003C674D" w:rsidP="003C674D">
      <w:pPr>
        <w:widowControl w:val="0"/>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III SKYRIUS</w:t>
      </w:r>
    </w:p>
    <w:p w14:paraId="31595894" w14:textId="77777777" w:rsidR="003C674D" w:rsidRPr="003C674D" w:rsidRDefault="003C674D" w:rsidP="003C674D">
      <w:pPr>
        <w:widowControl w:val="0"/>
        <w:ind w:firstLine="851"/>
        <w:jc w:val="center"/>
        <w:rPr>
          <w:rFonts w:ascii="Times New Roman" w:eastAsia="Calibri" w:hAnsi="Times New Roman"/>
          <w:b/>
          <w:color w:val="000000"/>
          <w:sz w:val="24"/>
          <w:szCs w:val="24"/>
          <w:lang w:eastAsia="en-US"/>
        </w:rPr>
      </w:pPr>
      <w:r w:rsidRPr="003C674D">
        <w:rPr>
          <w:rFonts w:ascii="Times New Roman" w:eastAsia="Calibri" w:hAnsi="Times New Roman"/>
          <w:b/>
          <w:color w:val="000000"/>
          <w:sz w:val="24"/>
          <w:szCs w:val="24"/>
          <w:lang w:eastAsia="en-US"/>
        </w:rPr>
        <w:t>FINANSAVIMO PLANAS</w:t>
      </w:r>
    </w:p>
    <w:p w14:paraId="4BA7EB86" w14:textId="77777777" w:rsidR="003C674D" w:rsidRPr="003C674D" w:rsidRDefault="003C674D" w:rsidP="003C674D">
      <w:pPr>
        <w:jc w:val="both"/>
        <w:rPr>
          <w:rFonts w:ascii="Times New Roman" w:hAnsi="Times New Roman"/>
          <w:b/>
          <w:bCs/>
          <w:sz w:val="24"/>
          <w:szCs w:val="24"/>
          <w:lang w:eastAsia="en-US"/>
        </w:rPr>
      </w:pPr>
    </w:p>
    <w:p w14:paraId="040351A5" w14:textId="77777777" w:rsidR="003C674D" w:rsidRPr="003C674D" w:rsidRDefault="003C674D" w:rsidP="008F347B">
      <w:pPr>
        <w:numPr>
          <w:ilvl w:val="0"/>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2025 m. programa 100 proc. finansuojama iš Lietuvos Respublikos valstybės biudžeto specialių tikslinių dotacijų savivaldybių biudžetams lėšų (toliau – Valstybės biudžeto lėšos).</w:t>
      </w:r>
    </w:p>
    <w:p w14:paraId="0E5FD1E1" w14:textId="77777777" w:rsidR="003C674D" w:rsidRPr="003C674D" w:rsidRDefault="003C674D" w:rsidP="008F347B">
      <w:pPr>
        <w:numPr>
          <w:ilvl w:val="0"/>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eastAsia="Calibri" w:hAnsi="Times New Roman"/>
          <w:sz w:val="24"/>
          <w:szCs w:val="24"/>
          <w:lang w:eastAsia="en-US"/>
        </w:rPr>
        <w:t>Programos Priemonėms ir Paslaugoms įgyvendinti 2025 m. skirta 253,3 tūkst. Eur, iš jų:</w:t>
      </w:r>
    </w:p>
    <w:p w14:paraId="0D035B4A"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Priemonėms – 180,0 tūkst. Eur, iš kurių:</w:t>
      </w:r>
    </w:p>
    <w:p w14:paraId="54D1E259" w14:textId="77777777" w:rsidR="003C674D" w:rsidRPr="003C674D" w:rsidRDefault="003C674D" w:rsidP="008F347B">
      <w:pPr>
        <w:numPr>
          <w:ilvl w:val="2"/>
          <w:numId w:val="4"/>
        </w:numPr>
        <w:tabs>
          <w:tab w:val="left" w:pos="851"/>
          <w:tab w:val="left" w:pos="1418"/>
          <w:tab w:val="left" w:pos="1701"/>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l</w:t>
      </w:r>
      <w:r w:rsidRPr="003C674D">
        <w:rPr>
          <w:rFonts w:ascii="Times New Roman" w:hAnsi="Times New Roman"/>
          <w:sz w:val="24"/>
          <w:szCs w:val="24"/>
        </w:rPr>
        <w:t>ėšos darbo užmokesčio kompensacijai iš viso (su SODRA ir kompensacija už nepanaudotas atostogas) – 173,0 tūkst. Eur;</w:t>
      </w:r>
    </w:p>
    <w:p w14:paraId="12E56094" w14:textId="77777777" w:rsidR="003C674D" w:rsidRPr="003C674D" w:rsidRDefault="003C674D" w:rsidP="008F347B">
      <w:pPr>
        <w:numPr>
          <w:ilvl w:val="2"/>
          <w:numId w:val="4"/>
        </w:numPr>
        <w:tabs>
          <w:tab w:val="left" w:pos="851"/>
          <w:tab w:val="left" w:pos="1418"/>
          <w:tab w:val="left" w:pos="1701"/>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hAnsi="Times New Roman"/>
          <w:sz w:val="24"/>
          <w:szCs w:val="24"/>
        </w:rPr>
        <w:t>administravimo išlaidos – 7,3 tūkst. Eur.</w:t>
      </w:r>
    </w:p>
    <w:p w14:paraId="04B6C4FE" w14:textId="77777777" w:rsidR="003C674D" w:rsidRPr="003C674D" w:rsidRDefault="003C674D" w:rsidP="008F347B">
      <w:pPr>
        <w:numPr>
          <w:ilvl w:val="1"/>
          <w:numId w:val="4"/>
        </w:numPr>
        <w:tabs>
          <w:tab w:val="left" w:pos="851"/>
          <w:tab w:val="left" w:pos="1418"/>
          <w:tab w:val="left" w:pos="1701"/>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lastRenderedPageBreak/>
        <w:t>Paslaugoms – 73,0 tūkst. Eur, iš kurių:</w:t>
      </w:r>
    </w:p>
    <w:p w14:paraId="72AFF2BA" w14:textId="77777777" w:rsidR="003C674D" w:rsidRPr="003C674D" w:rsidRDefault="003C674D" w:rsidP="008F347B">
      <w:pPr>
        <w:numPr>
          <w:ilvl w:val="2"/>
          <w:numId w:val="4"/>
        </w:numPr>
        <w:tabs>
          <w:tab w:val="left" w:pos="1701"/>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grupinės ir individualios motyvacijos didinimo konsultacijos, grupinės finansinio raštingumo mokymo paslaugos, priklausomybių konsultacijos, transporto organizavimo, odontologo paslaugos, viešojo transporto ir kitos paslaugos pagal poreikį –      42,5 tūkst. Eur;</w:t>
      </w:r>
    </w:p>
    <w:p w14:paraId="62FFBB16" w14:textId="77777777" w:rsidR="003C674D" w:rsidRPr="003C674D" w:rsidRDefault="003C674D" w:rsidP="008F347B">
      <w:pPr>
        <w:numPr>
          <w:ilvl w:val="2"/>
          <w:numId w:val="4"/>
        </w:numPr>
        <w:tabs>
          <w:tab w:val="left" w:pos="1701"/>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Atvejo vadybininko darbo užmokesčiui – 30,5 tūkst. Eur.</w:t>
      </w:r>
    </w:p>
    <w:p w14:paraId="07B91C07" w14:textId="77777777" w:rsidR="003C674D" w:rsidRPr="003C674D" w:rsidRDefault="003C674D" w:rsidP="008F347B">
      <w:pPr>
        <w:widowControl w:val="0"/>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Atvejo vadybos paslaugų teikimas organizuojamas paslaugas perkant Lietuvos Respublikos viešųjų pirkimų įstatymo nustatyta tvarka arba jos gali būti teikiamos bendradarbiaujant su SBĮ Kauno rajono Socialinių paslaugų centru, Kauno rajono visuomenės sveikatos biuru ar kitomis organizacijomis, teikiančiomis kompleksines paslaugas bendruomenėms.</w:t>
      </w:r>
    </w:p>
    <w:p w14:paraId="6374F4A2" w14:textId="77777777" w:rsidR="003C674D" w:rsidRPr="003C674D" w:rsidRDefault="003C674D" w:rsidP="008F347B">
      <w:pPr>
        <w:widowControl w:val="0"/>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Taikant Priemones, planuojama terminuotai įdarbinti daugiau nei 37 asmenis, sudarant darbo sutartis vidutiniam 4 mėnesių laikotarpiui (su galimybe pratęsti sutarties trukmę iki 6 mėn.).</w:t>
      </w:r>
    </w:p>
    <w:p w14:paraId="18D9DE9E" w14:textId="77777777" w:rsidR="003C674D" w:rsidRPr="003C674D" w:rsidRDefault="003C674D" w:rsidP="008F347B">
      <w:pPr>
        <w:widowControl w:val="0"/>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Vidutinė planuojama Priemonės kaina vienam asmeniui – 1175,27 Eur/mėn.</w:t>
      </w:r>
    </w:p>
    <w:p w14:paraId="793E1F39" w14:textId="77777777" w:rsidR="003C674D" w:rsidRPr="003C674D" w:rsidRDefault="003C674D" w:rsidP="008F347B">
      <w:pPr>
        <w:widowControl w:val="0"/>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Suteikti Paslaugas planuojama iki 70 naujų, darbo rinkai besirengiančių asmenų.</w:t>
      </w:r>
    </w:p>
    <w:p w14:paraId="5F40C704" w14:textId="77777777" w:rsidR="003C674D" w:rsidRPr="003C674D" w:rsidRDefault="003C674D" w:rsidP="008F347B">
      <w:pPr>
        <w:widowControl w:val="0"/>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Paslaugoms teikti nepanaudotos lėšos, esant poreikiui, gali būti paskirstomos Priemonei įgyvendinti.</w:t>
      </w:r>
    </w:p>
    <w:p w14:paraId="531FC14A" w14:textId="77777777" w:rsidR="003C674D" w:rsidRPr="003C674D" w:rsidRDefault="003C674D" w:rsidP="003C674D">
      <w:pPr>
        <w:widowControl w:val="0"/>
        <w:ind w:left="851"/>
        <w:jc w:val="both"/>
        <w:rPr>
          <w:rFonts w:ascii="Times New Roman" w:hAnsi="Times New Roman"/>
          <w:sz w:val="24"/>
          <w:szCs w:val="24"/>
        </w:rPr>
      </w:pPr>
    </w:p>
    <w:p w14:paraId="04470FC0" w14:textId="77777777" w:rsidR="003C674D" w:rsidRPr="003C674D" w:rsidRDefault="003C674D" w:rsidP="003C674D">
      <w:pPr>
        <w:widowControl w:val="0"/>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IV SKYRIUS</w:t>
      </w:r>
    </w:p>
    <w:p w14:paraId="3533E063" w14:textId="77777777" w:rsidR="003C674D" w:rsidRPr="003C674D" w:rsidRDefault="003C674D" w:rsidP="003C674D">
      <w:pPr>
        <w:widowControl w:val="0"/>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PROGRAMOJE DALYVAUJANTYS SUBJEKTAI</w:t>
      </w:r>
    </w:p>
    <w:p w14:paraId="2234132E" w14:textId="77777777" w:rsidR="003C674D" w:rsidRPr="003C674D" w:rsidRDefault="003C674D" w:rsidP="003C674D">
      <w:pPr>
        <w:widowControl w:val="0"/>
        <w:spacing w:line="276" w:lineRule="auto"/>
        <w:ind w:firstLine="851"/>
        <w:jc w:val="center"/>
        <w:rPr>
          <w:rFonts w:ascii="Times New Roman" w:eastAsia="Calibri" w:hAnsi="Times New Roman"/>
          <w:b/>
          <w:sz w:val="24"/>
          <w:szCs w:val="24"/>
          <w:lang w:eastAsia="en-US"/>
        </w:rPr>
      </w:pPr>
    </w:p>
    <w:p w14:paraId="42D07DB0" w14:textId="77777777" w:rsidR="003C674D" w:rsidRPr="003C674D" w:rsidRDefault="003C674D" w:rsidP="008F347B">
      <w:pPr>
        <w:widowControl w:val="0"/>
        <w:numPr>
          <w:ilvl w:val="0"/>
          <w:numId w:val="4"/>
        </w:numPr>
        <w:spacing w:line="360" w:lineRule="auto"/>
        <w:ind w:left="0" w:firstLine="851"/>
        <w:contextualSpacing/>
        <w:jc w:val="both"/>
        <w:rPr>
          <w:rFonts w:ascii="Times New Roman" w:eastAsia="Calibri" w:hAnsi="Times New Roman"/>
          <w:color w:val="000000"/>
          <w:sz w:val="24"/>
          <w:szCs w:val="24"/>
        </w:rPr>
      </w:pPr>
      <w:r w:rsidRPr="003C674D">
        <w:rPr>
          <w:rFonts w:ascii="Times New Roman" w:eastAsia="Calibri" w:hAnsi="Times New Roman"/>
          <w:color w:val="000000"/>
          <w:sz w:val="24"/>
          <w:szCs w:val="24"/>
        </w:rPr>
        <w:t>Programoje dalyvaujantys subjektai:</w:t>
      </w:r>
    </w:p>
    <w:p w14:paraId="5372A8B2"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rūpintiniai, kuriems iki pilnametystės buvo nustatyta rūpyba, kol jiems sukaks 25 metai;</w:t>
      </w:r>
    </w:p>
    <w:p w14:paraId="70BE93BF"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p>
    <w:p w14:paraId="5A36F37B"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grįžę iš laisvės atėmimo vietų įstaigos, kai laisvės atėmimo laikotarpis buvo ilgesnis kaip 6 mėnesiai, jeigu jie kreipiasi į Užimtumo tarnybą ne vėliau kaip per 6 mėnesius nuo grįžimo iš laisvės atėmimo vietų įstaigos;</w:t>
      </w:r>
    </w:p>
    <w:p w14:paraId="0927A182"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piniginės socialinės paramos gavėjai;</w:t>
      </w:r>
    </w:p>
    <w:p w14:paraId="506BBA50"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 xml:space="preserve">priklausomi nuo narkotinių, psichotropinių ir kitų psichiką veikiančių medžiagų, baigę psichologinės socialinės ir (ar) profesinės reabilitacijos programas, jeigu jie kreipiasi į </w:t>
      </w:r>
      <w:r w:rsidRPr="003C674D">
        <w:rPr>
          <w:rFonts w:ascii="Times New Roman" w:hAnsi="Times New Roman"/>
          <w:bCs/>
          <w:sz w:val="24"/>
          <w:szCs w:val="24"/>
        </w:rPr>
        <w:lastRenderedPageBreak/>
        <w:t xml:space="preserve">Užimtumo tarnybą </w:t>
      </w:r>
      <w:r w:rsidRPr="003C674D">
        <w:rPr>
          <w:rFonts w:ascii="Times New Roman" w:hAnsi="Times New Roman"/>
          <w:sz w:val="24"/>
          <w:szCs w:val="24"/>
        </w:rPr>
        <w:t>ne vėliau kaip per 6 mėnesius nuo psichologinės socialinės ir (ar) profesinės reabilitacijos programos baigimo;</w:t>
      </w:r>
    </w:p>
    <w:p w14:paraId="4FD770D8"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prekybos žmonėmis aukos, baigusios psichologinės socialinės ir (ar) profesinės reabilitacijos programas, jeigu jos kreipiasi į Užimtumo tarnybą</w:t>
      </w:r>
      <w:r w:rsidRPr="003C674D">
        <w:rPr>
          <w:rFonts w:ascii="Times New Roman" w:hAnsi="Times New Roman"/>
          <w:b/>
          <w:bCs/>
          <w:sz w:val="24"/>
          <w:szCs w:val="24"/>
        </w:rPr>
        <w:t xml:space="preserve"> </w:t>
      </w:r>
      <w:r w:rsidRPr="003C674D">
        <w:rPr>
          <w:rFonts w:ascii="Times New Roman" w:hAnsi="Times New Roman"/>
          <w:sz w:val="24"/>
          <w:szCs w:val="24"/>
        </w:rPr>
        <w:t>ne vėliau kaip per 6 mėnesius nuo psichologinės socialinės ir (ar) profesinės reabilitacijos programos baigimo;</w:t>
      </w:r>
    </w:p>
    <w:p w14:paraId="1710E9E2"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grįžę į Lietuvą nuolat gyventi politiniai kaliniai ir tremtiniai bei jų šeimos nariai (sutuoktinis, vaikai (įvaikiai) iki 18 metų), jeigu jie kreipiasi į Užimtumo tarnybą</w:t>
      </w:r>
      <w:r w:rsidRPr="003C674D">
        <w:rPr>
          <w:rFonts w:ascii="Times New Roman" w:hAnsi="Times New Roman"/>
          <w:b/>
          <w:bCs/>
          <w:sz w:val="24"/>
          <w:szCs w:val="24"/>
        </w:rPr>
        <w:t xml:space="preserve"> </w:t>
      </w:r>
      <w:r w:rsidRPr="003C674D">
        <w:rPr>
          <w:rFonts w:ascii="Times New Roman" w:hAnsi="Times New Roman"/>
          <w:sz w:val="24"/>
          <w:szCs w:val="24"/>
        </w:rPr>
        <w:t>ne vėliau kaip per 6 mėnesius nuo grįžimo į Lietuvą nuolat gyventi dienos;</w:t>
      </w:r>
    </w:p>
    <w:p w14:paraId="7EE94DA7"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bCs/>
          <w:sz w:val="24"/>
          <w:szCs w:val="24"/>
        </w:rPr>
        <w:t>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5754F59B"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bCs/>
          <w:sz w:val="24"/>
          <w:szCs w:val="24"/>
        </w:rPr>
        <w:t>asmenys, patiriantys socialinę riziką;</w:t>
      </w:r>
    </w:p>
    <w:p w14:paraId="715F118C" w14:textId="77777777" w:rsidR="003C674D" w:rsidRPr="003C674D" w:rsidRDefault="003C674D" w:rsidP="008F347B">
      <w:pPr>
        <w:numPr>
          <w:ilvl w:val="1"/>
          <w:numId w:val="4"/>
        </w:numPr>
        <w:tabs>
          <w:tab w:val="left" w:pos="1560"/>
        </w:tabs>
        <w:spacing w:line="360" w:lineRule="auto"/>
        <w:ind w:left="0" w:firstLine="851"/>
        <w:contextualSpacing/>
        <w:jc w:val="both"/>
        <w:rPr>
          <w:rFonts w:ascii="Times New Roman" w:hAnsi="Times New Roman"/>
          <w:bCs/>
          <w:sz w:val="24"/>
          <w:szCs w:val="24"/>
        </w:rPr>
      </w:pPr>
      <w:r w:rsidRPr="003C674D">
        <w:rPr>
          <w:rFonts w:ascii="Times New Roman" w:hAnsi="Times New Roman"/>
          <w:bCs/>
          <w:sz w:val="24"/>
          <w:szCs w:val="24"/>
        </w:rPr>
        <w:t>vyresni kaip 40 metų;</w:t>
      </w:r>
    </w:p>
    <w:p w14:paraId="67312AAF" w14:textId="77777777" w:rsidR="003C674D" w:rsidRPr="003C674D" w:rsidRDefault="003C674D" w:rsidP="008F347B">
      <w:pPr>
        <w:numPr>
          <w:ilvl w:val="1"/>
          <w:numId w:val="4"/>
        </w:numPr>
        <w:tabs>
          <w:tab w:val="left" w:pos="1560"/>
        </w:tabs>
        <w:spacing w:line="360" w:lineRule="auto"/>
        <w:ind w:left="0" w:firstLine="851"/>
        <w:contextualSpacing/>
        <w:jc w:val="both"/>
        <w:rPr>
          <w:rFonts w:ascii="Times New Roman" w:hAnsi="Times New Roman"/>
          <w:bCs/>
          <w:sz w:val="24"/>
          <w:szCs w:val="24"/>
        </w:rPr>
      </w:pPr>
      <w:r w:rsidRPr="003C674D">
        <w:rPr>
          <w:rFonts w:ascii="Times New Roman" w:hAnsi="Times New Roman"/>
          <w:bCs/>
          <w:sz w:val="24"/>
          <w:szCs w:val="24"/>
        </w:rPr>
        <w:t>darbo rinkai besirengiantys asmenys;</w:t>
      </w:r>
    </w:p>
    <w:p w14:paraId="643F5B1B" w14:textId="77777777" w:rsidR="003C674D" w:rsidRPr="003C674D" w:rsidRDefault="003C674D" w:rsidP="008F347B">
      <w:pPr>
        <w:numPr>
          <w:ilvl w:val="1"/>
          <w:numId w:val="4"/>
        </w:numPr>
        <w:tabs>
          <w:tab w:val="left" w:pos="1560"/>
        </w:tabs>
        <w:spacing w:line="360" w:lineRule="auto"/>
        <w:ind w:left="0" w:firstLine="851"/>
        <w:contextualSpacing/>
        <w:jc w:val="both"/>
        <w:rPr>
          <w:rFonts w:ascii="Times New Roman" w:hAnsi="Times New Roman"/>
          <w:bCs/>
          <w:sz w:val="24"/>
          <w:szCs w:val="24"/>
        </w:rPr>
      </w:pPr>
      <w:r w:rsidRPr="003C674D">
        <w:rPr>
          <w:rFonts w:ascii="Times New Roman" w:hAnsi="Times New Roman"/>
          <w:bCs/>
          <w:sz w:val="24"/>
          <w:szCs w:val="24"/>
        </w:rPr>
        <w:t>ilgalaikiai bedarbiai, kurių nedarbo trukmė ilgesnė kaip 12 mėnesių, skaičiuojant nuo įsiregistravimo Užimtumo tarnyboje dienos;</w:t>
      </w:r>
    </w:p>
    <w:p w14:paraId="6D970B59" w14:textId="77777777" w:rsidR="003C674D" w:rsidRPr="003C674D" w:rsidRDefault="003C674D" w:rsidP="008F347B">
      <w:pPr>
        <w:numPr>
          <w:ilvl w:val="1"/>
          <w:numId w:val="4"/>
        </w:numPr>
        <w:tabs>
          <w:tab w:val="left" w:pos="1560"/>
        </w:tabs>
        <w:spacing w:line="360" w:lineRule="auto"/>
        <w:ind w:left="0" w:firstLine="851"/>
        <w:contextualSpacing/>
        <w:jc w:val="both"/>
        <w:rPr>
          <w:rFonts w:ascii="Times New Roman" w:hAnsi="Times New Roman"/>
          <w:bCs/>
          <w:sz w:val="24"/>
          <w:szCs w:val="24"/>
        </w:rPr>
      </w:pPr>
      <w:r w:rsidRPr="003C674D">
        <w:rPr>
          <w:rFonts w:ascii="Times New Roman" w:hAnsi="Times New Roman"/>
          <w:bCs/>
          <w:sz w:val="24"/>
          <w:szCs w:val="24"/>
        </w:rPr>
        <w:t>Priemonių įgyvendinimą koordinuojantis Savivaldybės administracijos Socialinės paramos skyriaus atvejo vadybininkas, atsakingas už Priemonių įgyvendinimo koordinavimą;</w:t>
      </w:r>
    </w:p>
    <w:p w14:paraId="569B4ECA" w14:textId="77777777" w:rsidR="003C674D" w:rsidRPr="003C674D" w:rsidRDefault="003C674D" w:rsidP="008F347B">
      <w:pPr>
        <w:numPr>
          <w:ilvl w:val="1"/>
          <w:numId w:val="4"/>
        </w:numPr>
        <w:tabs>
          <w:tab w:val="left" w:pos="1560"/>
        </w:tabs>
        <w:spacing w:line="360" w:lineRule="auto"/>
        <w:ind w:left="0" w:firstLine="851"/>
        <w:contextualSpacing/>
        <w:jc w:val="both"/>
        <w:rPr>
          <w:rFonts w:ascii="Times New Roman" w:hAnsi="Times New Roman"/>
          <w:bCs/>
          <w:sz w:val="24"/>
          <w:szCs w:val="24"/>
        </w:rPr>
      </w:pPr>
      <w:r w:rsidRPr="003C674D">
        <w:rPr>
          <w:rFonts w:ascii="Times New Roman" w:hAnsi="Times New Roman"/>
          <w:bCs/>
          <w:sz w:val="24"/>
          <w:szCs w:val="24"/>
        </w:rPr>
        <w:t>Susitarimų dėl integracijos į darbo rinką (toliau – Susitarimas) su Tikslinėmis grupėmis rengimą ir pasirašymą vykdantis bei Susitarimų įgyvendinimą koordinuojantis Savivaldybės administracijos Socialinės paramos skyriaus atvejo vadybininkas;</w:t>
      </w:r>
    </w:p>
    <w:p w14:paraId="1F2A8628" w14:textId="77777777" w:rsidR="003C674D" w:rsidRPr="003C674D" w:rsidRDefault="003C674D" w:rsidP="008F347B">
      <w:pPr>
        <w:numPr>
          <w:ilvl w:val="1"/>
          <w:numId w:val="4"/>
        </w:numPr>
        <w:tabs>
          <w:tab w:val="left" w:pos="1560"/>
        </w:tabs>
        <w:spacing w:line="360" w:lineRule="auto"/>
        <w:ind w:left="0" w:firstLine="851"/>
        <w:contextualSpacing/>
        <w:jc w:val="both"/>
        <w:rPr>
          <w:rFonts w:ascii="Times New Roman" w:hAnsi="Times New Roman"/>
          <w:bCs/>
          <w:sz w:val="24"/>
          <w:szCs w:val="24"/>
        </w:rPr>
      </w:pPr>
      <w:r w:rsidRPr="003C674D">
        <w:rPr>
          <w:rFonts w:ascii="Times New Roman" w:hAnsi="Times New Roman"/>
          <w:bCs/>
          <w:sz w:val="24"/>
          <w:szCs w:val="24"/>
        </w:rPr>
        <w:t>Savivaldybės administracijos direktoriaus įsakymu tvirtinama Atvejo komanda, skirta Tikslinių grupių įsidarbinimą ribojančioms aplinkybėms pašalinti, (toliau – Atvejo komanda) – sudaroma iš Savivaldybės administracijos, Užimtumo tarnybos, Paslaugų ir (ar) Priemonių teikėjų, darbdavių atstovų ir kitų asmenų. Atvejo komandos veiklą koordinuoja Atvejo vadybininkas arba kitas savivaldybės institucijos įgaliotas asmuo;</w:t>
      </w:r>
    </w:p>
    <w:p w14:paraId="3D698027" w14:textId="77777777" w:rsidR="003C674D" w:rsidRPr="003C674D" w:rsidRDefault="003C674D" w:rsidP="008F347B">
      <w:pPr>
        <w:numPr>
          <w:ilvl w:val="1"/>
          <w:numId w:val="4"/>
        </w:numPr>
        <w:tabs>
          <w:tab w:val="left" w:pos="1560"/>
        </w:tabs>
        <w:spacing w:line="360" w:lineRule="auto"/>
        <w:ind w:left="0" w:firstLine="851"/>
        <w:contextualSpacing/>
        <w:jc w:val="both"/>
        <w:rPr>
          <w:rFonts w:ascii="Times New Roman" w:hAnsi="Times New Roman"/>
          <w:bCs/>
          <w:sz w:val="24"/>
          <w:szCs w:val="24"/>
        </w:rPr>
      </w:pPr>
      <w:r w:rsidRPr="003C674D">
        <w:rPr>
          <w:rFonts w:ascii="Times New Roman" w:hAnsi="Times New Roman"/>
          <w:bCs/>
          <w:sz w:val="24"/>
          <w:szCs w:val="24"/>
        </w:rPr>
        <w:t xml:space="preserve">Savivaldybės administracija, kuri: </w:t>
      </w:r>
    </w:p>
    <w:p w14:paraId="136626EC" w14:textId="2616F9C4" w:rsidR="003C674D" w:rsidRPr="00387901" w:rsidRDefault="003C674D" w:rsidP="00387901">
      <w:pPr>
        <w:numPr>
          <w:ilvl w:val="2"/>
          <w:numId w:val="4"/>
        </w:numPr>
        <w:tabs>
          <w:tab w:val="left" w:pos="851"/>
          <w:tab w:val="left" w:pos="1418"/>
          <w:tab w:val="left" w:pos="1701"/>
        </w:tabs>
        <w:spacing w:line="360" w:lineRule="auto"/>
        <w:ind w:left="0" w:firstLine="851"/>
        <w:contextualSpacing/>
        <w:jc w:val="both"/>
        <w:rPr>
          <w:rFonts w:ascii="Times New Roman" w:eastAsia="Calibri" w:hAnsi="Times New Roman"/>
          <w:sz w:val="24"/>
          <w:szCs w:val="24"/>
          <w:lang w:eastAsia="en-US"/>
        </w:rPr>
      </w:pPr>
      <w:r w:rsidRPr="00387901">
        <w:rPr>
          <w:rFonts w:ascii="Times New Roman" w:eastAsia="Calibri" w:hAnsi="Times New Roman"/>
          <w:sz w:val="24"/>
          <w:szCs w:val="24"/>
          <w:lang w:eastAsia="en-US"/>
        </w:rPr>
        <w:t>užtikrina sklandų Tikslinių grupių aptarnavimą, Paslaugų ir (ar) Priemonių joms teikimą;</w:t>
      </w:r>
    </w:p>
    <w:p w14:paraId="50EFDB8A" w14:textId="6C1891A0" w:rsidR="003C674D" w:rsidRPr="00387901" w:rsidRDefault="003C674D" w:rsidP="00387901">
      <w:pPr>
        <w:numPr>
          <w:ilvl w:val="2"/>
          <w:numId w:val="4"/>
        </w:numPr>
        <w:tabs>
          <w:tab w:val="left" w:pos="851"/>
          <w:tab w:val="left" w:pos="1418"/>
          <w:tab w:val="left" w:pos="1701"/>
        </w:tabs>
        <w:spacing w:line="360" w:lineRule="auto"/>
        <w:ind w:left="0" w:firstLine="851"/>
        <w:contextualSpacing/>
        <w:jc w:val="both"/>
        <w:rPr>
          <w:rFonts w:ascii="Times New Roman" w:eastAsia="Calibri" w:hAnsi="Times New Roman"/>
          <w:sz w:val="24"/>
          <w:szCs w:val="24"/>
          <w:lang w:eastAsia="en-US"/>
        </w:rPr>
      </w:pPr>
      <w:r w:rsidRPr="00387901">
        <w:rPr>
          <w:rFonts w:ascii="Times New Roman" w:eastAsia="Calibri" w:hAnsi="Times New Roman"/>
          <w:sz w:val="24"/>
          <w:szCs w:val="24"/>
          <w:lang w:eastAsia="en-US"/>
        </w:rPr>
        <w:t>paskiria Priemonių koordinatorių ir Atvejo vadybininką arba suteikia įgaliojimus tai padaryti kitai įstaigai;</w:t>
      </w:r>
    </w:p>
    <w:p w14:paraId="1CC612A1" w14:textId="05978756" w:rsidR="003C674D" w:rsidRPr="00387901" w:rsidRDefault="003C674D" w:rsidP="00387901">
      <w:pPr>
        <w:numPr>
          <w:ilvl w:val="2"/>
          <w:numId w:val="4"/>
        </w:numPr>
        <w:tabs>
          <w:tab w:val="left" w:pos="851"/>
          <w:tab w:val="left" w:pos="1418"/>
          <w:tab w:val="left" w:pos="1701"/>
        </w:tabs>
        <w:spacing w:line="360" w:lineRule="auto"/>
        <w:ind w:left="0" w:firstLine="851"/>
        <w:contextualSpacing/>
        <w:jc w:val="both"/>
        <w:rPr>
          <w:rFonts w:ascii="Times New Roman" w:eastAsia="Calibri" w:hAnsi="Times New Roman"/>
          <w:sz w:val="24"/>
          <w:szCs w:val="24"/>
          <w:lang w:eastAsia="en-US"/>
        </w:rPr>
      </w:pPr>
      <w:r w:rsidRPr="00387901">
        <w:rPr>
          <w:rFonts w:ascii="Times New Roman" w:eastAsia="Calibri" w:hAnsi="Times New Roman"/>
          <w:sz w:val="24"/>
          <w:szCs w:val="24"/>
          <w:lang w:eastAsia="en-US"/>
        </w:rPr>
        <w:t>organizuoja Atvejo vadybininko mokymus;</w:t>
      </w:r>
    </w:p>
    <w:p w14:paraId="75C567A0" w14:textId="650C40C0" w:rsidR="003C674D" w:rsidRPr="00387901" w:rsidRDefault="003C674D" w:rsidP="00387901">
      <w:pPr>
        <w:numPr>
          <w:ilvl w:val="2"/>
          <w:numId w:val="4"/>
        </w:numPr>
        <w:tabs>
          <w:tab w:val="left" w:pos="851"/>
          <w:tab w:val="left" w:pos="1418"/>
          <w:tab w:val="left" w:pos="1701"/>
        </w:tabs>
        <w:spacing w:line="360" w:lineRule="auto"/>
        <w:ind w:left="0" w:firstLine="851"/>
        <w:contextualSpacing/>
        <w:jc w:val="both"/>
        <w:rPr>
          <w:rFonts w:ascii="Times New Roman" w:eastAsia="Calibri" w:hAnsi="Times New Roman"/>
          <w:sz w:val="24"/>
          <w:szCs w:val="24"/>
          <w:lang w:eastAsia="en-US"/>
        </w:rPr>
      </w:pPr>
      <w:r w:rsidRPr="00387901">
        <w:rPr>
          <w:rFonts w:ascii="Times New Roman" w:eastAsia="Calibri" w:hAnsi="Times New Roman"/>
          <w:sz w:val="24"/>
          <w:szCs w:val="24"/>
          <w:lang w:eastAsia="en-US"/>
        </w:rPr>
        <w:t>sudaro Atvejo komandas;</w:t>
      </w:r>
    </w:p>
    <w:p w14:paraId="31256DB8" w14:textId="740C55A9" w:rsidR="003C674D" w:rsidRPr="003C674D" w:rsidRDefault="003C674D" w:rsidP="00387901">
      <w:pPr>
        <w:numPr>
          <w:ilvl w:val="2"/>
          <w:numId w:val="4"/>
        </w:numPr>
        <w:tabs>
          <w:tab w:val="left" w:pos="851"/>
          <w:tab w:val="left" w:pos="1418"/>
          <w:tab w:val="left" w:pos="1701"/>
        </w:tabs>
        <w:spacing w:line="360" w:lineRule="auto"/>
        <w:ind w:left="0" w:firstLine="851"/>
        <w:contextualSpacing/>
        <w:jc w:val="both"/>
        <w:rPr>
          <w:rFonts w:ascii="Times New Roman" w:hAnsi="Times New Roman"/>
          <w:color w:val="000000"/>
          <w:sz w:val="24"/>
          <w:lang w:eastAsia="en-US"/>
        </w:rPr>
      </w:pPr>
      <w:r w:rsidRPr="00387901">
        <w:rPr>
          <w:rFonts w:ascii="Times New Roman" w:eastAsia="Calibri" w:hAnsi="Times New Roman"/>
          <w:sz w:val="24"/>
          <w:szCs w:val="24"/>
          <w:lang w:eastAsia="en-US"/>
        </w:rPr>
        <w:lastRenderedPageBreak/>
        <w:t>informuoja</w:t>
      </w:r>
      <w:r w:rsidRPr="003C674D">
        <w:rPr>
          <w:rFonts w:ascii="Times New Roman" w:hAnsi="Times New Roman"/>
          <w:color w:val="000000"/>
          <w:sz w:val="24"/>
          <w:lang w:eastAsia="en-US"/>
        </w:rPr>
        <w:t xml:space="preserve"> Savivaldybėje veikiančias nevyriausybines organizacijas (toliau NVO) ir Užimtumo tarnybą apie Užimtumo didinimo programą;</w:t>
      </w:r>
    </w:p>
    <w:p w14:paraId="03EF0AC8" w14:textId="7855B101" w:rsidR="003C674D" w:rsidRPr="00C50860" w:rsidRDefault="003C674D" w:rsidP="00C50860">
      <w:pPr>
        <w:numPr>
          <w:ilvl w:val="1"/>
          <w:numId w:val="4"/>
        </w:numPr>
        <w:tabs>
          <w:tab w:val="left" w:pos="1560"/>
        </w:tabs>
        <w:spacing w:line="360" w:lineRule="auto"/>
        <w:ind w:left="0" w:firstLine="851"/>
        <w:contextualSpacing/>
        <w:jc w:val="both"/>
        <w:rPr>
          <w:rFonts w:ascii="Times New Roman" w:hAnsi="Times New Roman"/>
          <w:bCs/>
          <w:sz w:val="24"/>
          <w:szCs w:val="24"/>
        </w:rPr>
      </w:pPr>
      <w:r w:rsidRPr="00C50860">
        <w:rPr>
          <w:rFonts w:ascii="Times New Roman" w:hAnsi="Times New Roman"/>
          <w:bCs/>
          <w:sz w:val="24"/>
          <w:szCs w:val="24"/>
        </w:rPr>
        <w:t>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047D5375" w14:textId="7F25B83F" w:rsidR="003C674D" w:rsidRPr="003C674D" w:rsidRDefault="003C674D" w:rsidP="00C50860">
      <w:pPr>
        <w:numPr>
          <w:ilvl w:val="1"/>
          <w:numId w:val="4"/>
        </w:numPr>
        <w:tabs>
          <w:tab w:val="left" w:pos="1560"/>
        </w:tabs>
        <w:spacing w:line="360" w:lineRule="auto"/>
        <w:ind w:left="0" w:firstLine="851"/>
        <w:contextualSpacing/>
        <w:jc w:val="both"/>
        <w:rPr>
          <w:rFonts w:ascii="Times New Roman" w:hAnsi="Times New Roman"/>
          <w:bCs/>
          <w:sz w:val="24"/>
          <w:szCs w:val="24"/>
        </w:rPr>
      </w:pPr>
      <w:r w:rsidRPr="00C50860">
        <w:rPr>
          <w:rFonts w:ascii="Times New Roman" w:hAnsi="Times New Roman"/>
          <w:bCs/>
          <w:sz w:val="24"/>
          <w:szCs w:val="24"/>
        </w:rPr>
        <w:t>NVO ir kiti asmenys, kuriuos rekomenduojama pasitelkti Paslaugoms įsigyti.</w:t>
      </w:r>
    </w:p>
    <w:p w14:paraId="56F756D7" w14:textId="77777777" w:rsidR="003C674D" w:rsidRPr="003C674D" w:rsidRDefault="003C674D" w:rsidP="003C674D">
      <w:pPr>
        <w:tabs>
          <w:tab w:val="left" w:pos="993"/>
        </w:tabs>
        <w:ind w:firstLine="851"/>
        <w:jc w:val="center"/>
        <w:rPr>
          <w:rFonts w:ascii="Times New Roman" w:hAnsi="Times New Roman"/>
          <w:b/>
          <w:sz w:val="24"/>
          <w:szCs w:val="30"/>
        </w:rPr>
      </w:pPr>
    </w:p>
    <w:p w14:paraId="69CB5DCE" w14:textId="77777777" w:rsidR="003C674D" w:rsidRPr="003C674D" w:rsidRDefault="003C674D" w:rsidP="003C674D">
      <w:pPr>
        <w:widowControl w:val="0"/>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V SKYRIUS</w:t>
      </w:r>
    </w:p>
    <w:p w14:paraId="39DA90A9" w14:textId="77777777" w:rsidR="003C674D" w:rsidRPr="003C674D" w:rsidRDefault="003C674D" w:rsidP="003C674D">
      <w:pPr>
        <w:widowControl w:val="0"/>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PASLAUGŲ IR PRIEMONIŲ PLANAS</w:t>
      </w:r>
    </w:p>
    <w:p w14:paraId="10EC81A8" w14:textId="77777777" w:rsidR="003C674D" w:rsidRPr="003C674D" w:rsidRDefault="003C674D" w:rsidP="003C674D">
      <w:pPr>
        <w:widowControl w:val="0"/>
        <w:ind w:firstLine="851"/>
        <w:jc w:val="center"/>
        <w:rPr>
          <w:rFonts w:ascii="Times New Roman" w:eastAsia="Calibri" w:hAnsi="Times New Roman"/>
          <w:b/>
          <w:sz w:val="24"/>
          <w:szCs w:val="24"/>
          <w:lang w:eastAsia="en-US"/>
        </w:rPr>
      </w:pPr>
    </w:p>
    <w:p w14:paraId="5C36D0D6" w14:textId="77777777" w:rsidR="003C674D" w:rsidRPr="003C674D" w:rsidRDefault="003C674D" w:rsidP="008F347B">
      <w:pPr>
        <w:widowControl w:val="0"/>
        <w:numPr>
          <w:ilvl w:val="0"/>
          <w:numId w:val="4"/>
        </w:numPr>
        <w:spacing w:line="360" w:lineRule="auto"/>
        <w:ind w:left="0" w:firstLine="851"/>
        <w:contextualSpacing/>
        <w:jc w:val="both"/>
        <w:rPr>
          <w:rFonts w:ascii="Times New Roman" w:eastAsia="Calibri" w:hAnsi="Times New Roman"/>
          <w:color w:val="000000"/>
          <w:sz w:val="24"/>
          <w:szCs w:val="24"/>
        </w:rPr>
      </w:pPr>
      <w:r w:rsidRPr="003C674D">
        <w:rPr>
          <w:rFonts w:ascii="Times New Roman" w:eastAsia="Calibri" w:hAnsi="Times New Roman"/>
          <w:color w:val="000000"/>
          <w:sz w:val="24"/>
          <w:szCs w:val="24"/>
        </w:rPr>
        <w:t>Programos įgyvendinimo laikotarpis – 2025 metai, įsigaliojus Savivaldybės tarybos sprendimui dėl Programos patvirtinimo.</w:t>
      </w:r>
    </w:p>
    <w:p w14:paraId="3DF69488" w14:textId="77777777" w:rsidR="003C674D" w:rsidRPr="003C674D" w:rsidRDefault="003C674D" w:rsidP="008F347B">
      <w:pPr>
        <w:widowControl w:val="0"/>
        <w:numPr>
          <w:ilvl w:val="0"/>
          <w:numId w:val="4"/>
        </w:numPr>
        <w:spacing w:line="360" w:lineRule="auto"/>
        <w:ind w:left="0" w:firstLine="851"/>
        <w:contextualSpacing/>
        <w:jc w:val="both"/>
        <w:rPr>
          <w:rFonts w:ascii="Times New Roman" w:eastAsia="Calibri" w:hAnsi="Times New Roman"/>
          <w:color w:val="000000"/>
          <w:sz w:val="24"/>
          <w:szCs w:val="24"/>
        </w:rPr>
      </w:pPr>
      <w:r w:rsidRPr="003C674D">
        <w:rPr>
          <w:rFonts w:ascii="Times New Roman" w:eastAsia="Calibri" w:hAnsi="Times New Roman"/>
          <w:color w:val="000000"/>
          <w:sz w:val="24"/>
          <w:szCs w:val="24"/>
        </w:rPr>
        <w:t>Programoje dalyvaujantiems asmenims bus teikiamos Paslaugos, kurios skirtos:</w:t>
      </w:r>
    </w:p>
    <w:p w14:paraId="37AD09BC"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hAnsi="Times New Roman"/>
          <w:sz w:val="24"/>
          <w:szCs w:val="24"/>
        </w:rPr>
        <w:t xml:space="preserve">palydėti ir padėti </w:t>
      </w:r>
      <w:bookmarkStart w:id="3" w:name="_Hlk128922929"/>
      <w:r w:rsidRPr="003C674D">
        <w:rPr>
          <w:rFonts w:ascii="Times New Roman" w:hAnsi="Times New Roman"/>
          <w:sz w:val="24"/>
          <w:szCs w:val="24"/>
        </w:rPr>
        <w:t>Programos dalyviams</w:t>
      </w:r>
      <w:bookmarkEnd w:id="3"/>
      <w:r w:rsidRPr="003C674D">
        <w:rPr>
          <w:rFonts w:ascii="Times New Roman" w:hAnsi="Times New Roman"/>
          <w:sz w:val="24"/>
          <w:szCs w:val="24"/>
        </w:rPr>
        <w:t xml:space="preserve">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045B5375"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hAnsi="Times New Roman"/>
          <w:sz w:val="24"/>
          <w:szCs w:val="24"/>
        </w:rPr>
        <w:t>įgyti socialinių įgūdžių ir (ar) motyvacijos dirbti;</w:t>
      </w:r>
    </w:p>
    <w:p w14:paraId="3E9D6108"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padėti įgyvendinti darbo pareigas ir šeimos nario ar kartu gyvenančio asmens priežiūrą ar slaugą arba padėti pašalinti kitas darbo ir šeimos gyvenimo derinimo kliūtis;</w:t>
      </w:r>
    </w:p>
    <w:p w14:paraId="36A04C38"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paskatinti grįžti į darbo rinką įsiskolinimų turinčius Programos dalyvius, kuriems apribotas disponavimas piniginėmis lėšomis ir (ar) antstolio, kitų institucijų ar pareigūnų nurodymu priverstinai nurašomos piniginės lėšos skolai apmokėti;</w:t>
      </w:r>
    </w:p>
    <w:p w14:paraId="3E98D1CB"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hAnsi="Times New Roman"/>
          <w:sz w:val="24"/>
          <w:szCs w:val="24"/>
        </w:rPr>
        <w:t>padėti asmeniui atvykti iš nuolatinės gyvenamosios vietos į Paslaugų teikimo ir (arba) Priemonių organizavimo vietą;</w:t>
      </w:r>
    </w:p>
    <w:p w14:paraId="07B51D3C"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hAnsi="Times New Roman"/>
          <w:sz w:val="24"/>
          <w:szCs w:val="24"/>
        </w:rPr>
        <w:t>gydyti priklausomybes nuo alkoholio, narkotinių, psichotropinių ir kitų psichiką veikiančių medžiagų, azartinių žaidimų;</w:t>
      </w:r>
    </w:p>
    <w:p w14:paraId="4A2F3B06"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hAnsi="Times New Roman"/>
          <w:sz w:val="24"/>
          <w:szCs w:val="24"/>
        </w:rPr>
        <w:t>palaikyti Tikslines grupes, dirbančias terminuotus darbus ne ilgiau nei 6 mėnesius, darbo vietoje;</w:t>
      </w:r>
    </w:p>
    <w:p w14:paraId="10F81FD0"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eastAsia="Calibri" w:hAnsi="Times New Roman"/>
          <w:sz w:val="24"/>
          <w:szCs w:val="24"/>
          <w:lang w:eastAsia="en-US"/>
        </w:rPr>
      </w:pPr>
      <w:r w:rsidRPr="003C674D">
        <w:rPr>
          <w:rFonts w:ascii="Times New Roman" w:hAnsi="Times New Roman"/>
          <w:sz w:val="24"/>
          <w:szCs w:val="24"/>
        </w:rPr>
        <w:t>šalinti kitas kliūtis Tikslinių grupių tvariam užimtumui.</w:t>
      </w:r>
    </w:p>
    <w:p w14:paraId="19E91EBE" w14:textId="77777777" w:rsidR="003C674D" w:rsidRPr="003C674D" w:rsidRDefault="003C674D" w:rsidP="008F347B">
      <w:pPr>
        <w:widowControl w:val="0"/>
        <w:numPr>
          <w:ilvl w:val="0"/>
          <w:numId w:val="4"/>
        </w:numPr>
        <w:tabs>
          <w:tab w:val="left" w:pos="1418"/>
        </w:tabs>
        <w:spacing w:line="360" w:lineRule="auto"/>
        <w:ind w:left="0" w:firstLine="851"/>
        <w:contextualSpacing/>
        <w:jc w:val="both"/>
        <w:rPr>
          <w:rFonts w:ascii="Times New Roman" w:hAnsi="Times New Roman"/>
          <w:sz w:val="24"/>
          <w:szCs w:val="24"/>
          <w:lang w:eastAsia="en-US"/>
        </w:rPr>
      </w:pPr>
      <w:r w:rsidRPr="003C674D">
        <w:rPr>
          <w:rFonts w:ascii="Times New Roman" w:hAnsi="Times New Roman"/>
          <w:sz w:val="24"/>
          <w:szCs w:val="24"/>
          <w:lang w:eastAsia="en-US"/>
        </w:rPr>
        <w:t>Programos įgyvendinimo metu, gyventojų užimtumui didinti numatyta taikyti Priemones:</w:t>
      </w:r>
    </w:p>
    <w:p w14:paraId="1F4D30FF"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lang w:eastAsia="en-US"/>
        </w:rPr>
      </w:pPr>
      <w:r w:rsidRPr="003C674D">
        <w:rPr>
          <w:rFonts w:ascii="Times New Roman" w:hAnsi="Times New Roman"/>
          <w:sz w:val="24"/>
          <w:szCs w:val="24"/>
          <w:lang w:eastAsia="en-US"/>
        </w:rPr>
        <w:t>terminuotas asmens įdarbinimas;</w:t>
      </w:r>
    </w:p>
    <w:p w14:paraId="6F5D7589"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sz w:val="24"/>
          <w:szCs w:val="24"/>
          <w:lang w:eastAsia="en-US"/>
        </w:rPr>
      </w:pPr>
      <w:r w:rsidRPr="003C674D">
        <w:rPr>
          <w:rFonts w:ascii="Times New Roman" w:hAnsi="Times New Roman"/>
          <w:sz w:val="24"/>
          <w:szCs w:val="24"/>
        </w:rPr>
        <w:t>kitos priemonės, skirtos asmeniui įveiklinti.</w:t>
      </w:r>
    </w:p>
    <w:p w14:paraId="6F72ECDF" w14:textId="77777777" w:rsidR="003C674D" w:rsidRPr="003C674D" w:rsidRDefault="003C674D" w:rsidP="008F347B">
      <w:pPr>
        <w:numPr>
          <w:ilvl w:val="0"/>
          <w:numId w:val="4"/>
        </w:numPr>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 xml:space="preserve">Priemonių įgyvendinimo tvarką nustato Savivaldybės užimtumo didinimo programos įgyvendinimo tvarkos aprašas. </w:t>
      </w:r>
    </w:p>
    <w:p w14:paraId="26F61AA1" w14:textId="77777777" w:rsidR="003C674D" w:rsidRPr="003C674D" w:rsidRDefault="003C674D" w:rsidP="003C674D">
      <w:pPr>
        <w:tabs>
          <w:tab w:val="left" w:pos="1418"/>
        </w:tabs>
        <w:spacing w:line="360" w:lineRule="auto"/>
        <w:jc w:val="both"/>
        <w:rPr>
          <w:rFonts w:ascii="Times New Roman" w:hAnsi="Times New Roman"/>
          <w:sz w:val="24"/>
          <w:szCs w:val="24"/>
          <w:highlight w:val="yellow"/>
          <w:lang w:eastAsia="en-US"/>
        </w:rPr>
      </w:pPr>
    </w:p>
    <w:p w14:paraId="4A685074" w14:textId="77777777" w:rsidR="003C674D" w:rsidRPr="003C674D" w:rsidRDefault="003C674D" w:rsidP="003C674D">
      <w:pPr>
        <w:widowControl w:val="0"/>
        <w:ind w:firstLine="851"/>
        <w:jc w:val="center"/>
        <w:rPr>
          <w:rFonts w:ascii="Times New Roman" w:hAnsi="Times New Roman"/>
          <w:b/>
          <w:sz w:val="24"/>
          <w:szCs w:val="24"/>
          <w:lang w:eastAsia="en-US"/>
        </w:rPr>
      </w:pPr>
      <w:r w:rsidRPr="003C674D">
        <w:rPr>
          <w:rFonts w:ascii="Times New Roman" w:hAnsi="Times New Roman"/>
          <w:b/>
          <w:sz w:val="24"/>
          <w:szCs w:val="24"/>
          <w:lang w:eastAsia="en-US"/>
        </w:rPr>
        <w:t>VI SKYRIUS</w:t>
      </w:r>
    </w:p>
    <w:p w14:paraId="1EE3544D" w14:textId="77777777" w:rsidR="003C674D" w:rsidRPr="003C674D" w:rsidRDefault="003C674D" w:rsidP="003C674D">
      <w:pPr>
        <w:widowControl w:val="0"/>
        <w:ind w:firstLine="851"/>
        <w:jc w:val="center"/>
        <w:rPr>
          <w:rFonts w:ascii="Times New Roman" w:hAnsi="Times New Roman"/>
          <w:b/>
          <w:sz w:val="24"/>
          <w:szCs w:val="24"/>
          <w:lang w:eastAsia="en-US"/>
        </w:rPr>
      </w:pPr>
      <w:r w:rsidRPr="003C674D">
        <w:rPr>
          <w:rFonts w:ascii="Times New Roman" w:hAnsi="Times New Roman"/>
          <w:b/>
          <w:sz w:val="24"/>
          <w:szCs w:val="24"/>
          <w:lang w:eastAsia="en-US"/>
        </w:rPr>
        <w:t>PROGRAMOS ĮGYVENDINIMO ETAPAI</w:t>
      </w:r>
    </w:p>
    <w:p w14:paraId="1225BF81" w14:textId="77777777" w:rsidR="003C674D" w:rsidRPr="003C674D" w:rsidRDefault="003C674D" w:rsidP="003C674D">
      <w:pPr>
        <w:widowControl w:val="0"/>
        <w:spacing w:line="360" w:lineRule="auto"/>
        <w:ind w:firstLine="851"/>
        <w:rPr>
          <w:rFonts w:ascii="Times New Roman" w:hAnsi="Times New Roman"/>
          <w:b/>
          <w:sz w:val="24"/>
          <w:szCs w:val="24"/>
          <w:lang w:eastAsia="en-US"/>
        </w:rPr>
      </w:pPr>
    </w:p>
    <w:p w14:paraId="4D306DD0" w14:textId="77777777" w:rsidR="003C674D" w:rsidRPr="003C674D" w:rsidRDefault="003C674D" w:rsidP="008F347B">
      <w:pPr>
        <w:numPr>
          <w:ilvl w:val="0"/>
          <w:numId w:val="4"/>
        </w:numPr>
        <w:tabs>
          <w:tab w:val="left" w:pos="1418"/>
          <w:tab w:val="left" w:pos="1560"/>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sz w:val="24"/>
          <w:szCs w:val="24"/>
        </w:rPr>
        <w:t xml:space="preserve">Tikslinės grupės siuntimas dalyvauti Programoje: </w:t>
      </w:r>
      <w:r w:rsidRPr="003C674D">
        <w:rPr>
          <w:rFonts w:ascii="Times New Roman" w:hAnsi="Times New Roman"/>
          <w:color w:val="000000"/>
          <w:sz w:val="24"/>
          <w:lang w:eastAsia="en-US"/>
        </w:rPr>
        <w:t xml:space="preserve">Savivaldybė ir (ar) NVO darbuotojai, seniūnijos, kurioje gyvena asmuo, seniūnas, šeimos atvejo vadybininkai, socialiniai darbuotojai, nustatę, kad asmeniui tikslinga dalyvauti užimtumo didinimo programoje, nukreipia jį į Užimtumo tarnybos Kauno klientų aptarnavimo departamento Kauno 3-ąjį skyrių, arba Užimtumo tarnybos Kauno klientų aptarnavimo departamento Kauno 3-asis skyrius, pats nustatęs, kad asmeniui tikslinga dalyvauti užimtumo didinimo programoje, su asmeniu sudaro individualaus užimtumo veiklos planą, kuriame numato dalyvavimą užimtumo didinimo programoje ir siunčia Užimtumo įstatymo 48 straipsnio 2 dalies 1–10 ir 12 punktuose nurodytus asmenis pas Priemonių koordinatorių, o darbo rinkai besirengiančius asmenis </w:t>
      </w:r>
      <w:r w:rsidRPr="003C674D">
        <w:rPr>
          <w:rFonts w:ascii="Times New Roman" w:hAnsi="Times New Roman"/>
          <w:bCs/>
          <w:sz w:val="24"/>
          <w:szCs w:val="24"/>
          <w:lang w:eastAsia="en-US"/>
        </w:rPr>
        <w:t>– pas Atvejo vadybininką.</w:t>
      </w:r>
    </w:p>
    <w:p w14:paraId="55F19602" w14:textId="77777777" w:rsidR="003C674D" w:rsidRPr="003C674D" w:rsidRDefault="003C674D" w:rsidP="008F347B">
      <w:pPr>
        <w:numPr>
          <w:ilvl w:val="0"/>
          <w:numId w:val="4"/>
        </w:numPr>
        <w:tabs>
          <w:tab w:val="left" w:pos="1418"/>
          <w:tab w:val="left" w:pos="1560"/>
        </w:tabs>
        <w:spacing w:line="360" w:lineRule="auto"/>
        <w:ind w:left="0" w:firstLine="851"/>
        <w:contextualSpacing/>
        <w:jc w:val="both"/>
        <w:rPr>
          <w:rFonts w:ascii="Times New Roman" w:hAnsi="Times New Roman"/>
          <w:sz w:val="24"/>
          <w:szCs w:val="24"/>
        </w:rPr>
      </w:pPr>
      <w:r w:rsidRPr="003C674D">
        <w:rPr>
          <w:rFonts w:ascii="Times New Roman" w:hAnsi="Times New Roman"/>
          <w:sz w:val="24"/>
          <w:szCs w:val="24"/>
        </w:rPr>
        <w:t>Atvejo vadybininko, Savivaldybės mero ar jo įgalioto Savivaldybės administracijos direktoriaus nustatyta tvarka atliekamas darbo rinkai besirengiančių asmenų, o prireikus – Užimtumo įstatymo 48 straipsnio 2 dalies 1−10 ir 12 punktuose nurodytų asmenų poreikių ir galimybių įvertinimas pagal:</w:t>
      </w:r>
    </w:p>
    <w:p w14:paraId="3014B593"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sz w:val="24"/>
          <w:szCs w:val="24"/>
        </w:rPr>
        <w:t>Užimtumo tarnybos Kauno klientų aptarnavimo departamento Kauno 3-ojo skyriaus pateiktą informaciją apie asmens įsidarbinimą ribojančias aplinkybes, darbo paiešką, teiktas ir teikiamas paslaugas, taikytas ir taikomas priemones bei kitą Darbo ieškančio asmens kortelėje, kurios forma patvirtinta Užimtumo tarnybos direktoriaus įsakymu (toliau – Darbo ieškančio asmens kortelė), esančią informaciją;</w:t>
      </w:r>
    </w:p>
    <w:p w14:paraId="2586A2FE"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sz w:val="24"/>
          <w:szCs w:val="24"/>
        </w:rPr>
        <w:t>Savivaldybės administracijos Socialinės paramos skyriaus informaciją apie asmeniui teiktą piniginę socialinę paramą ir socialines paslaugas;</w:t>
      </w:r>
    </w:p>
    <w:p w14:paraId="3927B4E7"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sz w:val="24"/>
          <w:szCs w:val="24"/>
        </w:rPr>
        <w:t>informaciją apie asmens dalyvavimą NVO ir kitų organizacijų įgyvendintuose  projektuose ir vykdytose veiklose bei jam teiktas paslaugas, skirtas nedirbantiems asmenims;</w:t>
      </w:r>
    </w:p>
    <w:p w14:paraId="4353D876" w14:textId="77777777" w:rsidR="003C674D" w:rsidRPr="003C674D" w:rsidRDefault="003C674D" w:rsidP="008F347B">
      <w:pPr>
        <w:numPr>
          <w:ilvl w:val="1"/>
          <w:numId w:val="4"/>
        </w:numPr>
        <w:tabs>
          <w:tab w:val="left" w:pos="1418"/>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sz w:val="24"/>
          <w:szCs w:val="24"/>
        </w:rPr>
        <w:t>kitą asmens pateiktą informaciją, susijusią su galimybėmis ir kliūtimis jam integruotis į darbo rinką.</w:t>
      </w:r>
    </w:p>
    <w:p w14:paraId="02A3F8D8" w14:textId="77777777" w:rsidR="003C674D" w:rsidRPr="003C674D" w:rsidRDefault="003C674D" w:rsidP="008F347B">
      <w:pPr>
        <w:numPr>
          <w:ilvl w:val="0"/>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Atvejo komandos ir Atvejo vadybininko veiksmai, parenkant Paslaugas darbo rinkai besirengiančiam asmeniui, o esant poreikiui, kitiems Užimtumo įstatymo 48 straipsnio 2 dalies 1–10 ir 12 punktuose nurodytiems asmenims:</w:t>
      </w:r>
    </w:p>
    <w:p w14:paraId="678E1F01"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bCs/>
          <w:sz w:val="24"/>
          <w:szCs w:val="24"/>
          <w:lang w:eastAsia="en-US"/>
        </w:rPr>
        <w:t>Atvejo vadybininkas, atlikęs asmens poreikių ir galimybių įvertinimą, organizuoja Atvejo komandos susitikimą, kuriame apibūdina šio asmens situaciją (aptaria surinktą informaciją ir prieitas išvadas, atlikus asmens poreikių ir galimybių įvertinimą);</w:t>
      </w:r>
    </w:p>
    <w:p w14:paraId="52484D78"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bCs/>
          <w:sz w:val="24"/>
          <w:szCs w:val="24"/>
          <w:lang w:eastAsia="en-US"/>
        </w:rPr>
        <w:t xml:space="preserve">Atvejo komanda, išanalizavusi asmens situaciją, pateikia Atvejo vadybininkui </w:t>
      </w:r>
      <w:r w:rsidRPr="003C674D">
        <w:rPr>
          <w:rFonts w:ascii="Times New Roman" w:hAnsi="Times New Roman"/>
          <w:bCs/>
          <w:sz w:val="24"/>
          <w:szCs w:val="24"/>
          <w:lang w:eastAsia="en-US"/>
        </w:rPr>
        <w:lastRenderedPageBreak/>
        <w:t>pasiūlymus dėl Paslaugų parinkimo, jų apimties, teikimo eiliškumo;</w:t>
      </w:r>
    </w:p>
    <w:p w14:paraId="3AD0D8D9"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bCs/>
          <w:sz w:val="24"/>
          <w:szCs w:val="24"/>
          <w:lang w:eastAsia="en-US"/>
        </w:rPr>
        <w:t>atsižvelgdamas į Atvejo komandos pateiktus pasiūlymus, Atvejo vadybininkas parenka reikalingas Paslaugas.</w:t>
      </w:r>
    </w:p>
    <w:p w14:paraId="791BD804" w14:textId="77777777" w:rsidR="003C674D" w:rsidRPr="003C674D" w:rsidRDefault="003C674D" w:rsidP="008F347B">
      <w:pPr>
        <w:numPr>
          <w:ilvl w:val="0"/>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3C3B13D4" w14:textId="77777777" w:rsidR="003C674D" w:rsidRPr="003C674D" w:rsidRDefault="003C674D" w:rsidP="008F347B">
      <w:pPr>
        <w:numPr>
          <w:ilvl w:val="0"/>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 xml:space="preserve">Susitarimo įgyvendinimas: </w:t>
      </w:r>
    </w:p>
    <w:p w14:paraId="417487F4"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Atvejo vadybininkas koordinuoja Susitarimo įgyvendinimą, rengia jo pakeitimo ir nutraukimo projektus, renka informaciją apie asmens pasiektus rezultatus dalyvaujant užimtumo didinimo programoje (pasiektas rezultatas, data);</w:t>
      </w:r>
    </w:p>
    <w:p w14:paraId="2E90709C"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color w:val="000000"/>
          <w:sz w:val="24"/>
          <w:lang w:eastAsia="en-US"/>
        </w:rPr>
        <w:t>pasirašius Susitarimą, Atvejo vadybininkas, iki pradedant teikti Paslaugas, suorganizuoja asmens susitikimą (-us) su vykdant Susitarimą numatytų teikti Paslaugų ar Priemonių teikėjais, o prireikus arba Atvejo komandai pasiūlius – su potencialaus (-ių) darbdavio (-ių) atstovu (-ais);</w:t>
      </w:r>
    </w:p>
    <w:p w14:paraId="763CE9C2"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color w:val="000000"/>
          <w:sz w:val="24"/>
          <w:lang w:eastAsia="en-US"/>
        </w:rPr>
        <w:t>Atvejo vadybininkas, nustatęs, kad suteiktos visos Susitarime numatytos Paslaugos arba gavęs informacijos, kad Susitarimas nevykdomas, siūlo Atvejo komandai įvertinti asmenį ir spręsti dėl Susitarimo pakeitimo ar nutraukimo tikslingumo;</w:t>
      </w:r>
    </w:p>
    <w:p w14:paraId="19E0B68F" w14:textId="25B3DB03"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bCs/>
          <w:sz w:val="24"/>
          <w:szCs w:val="24"/>
          <w:lang w:eastAsia="en-US"/>
        </w:rPr>
      </w:pPr>
      <w:r w:rsidRPr="003C674D">
        <w:rPr>
          <w:rFonts w:ascii="Times New Roman" w:hAnsi="Times New Roman"/>
          <w:color w:val="000000"/>
          <w:sz w:val="24"/>
          <w:lang w:eastAsia="en-US"/>
        </w:rPr>
        <w:t xml:space="preserve">Atvejo komanda, gavusi Programos </w:t>
      </w:r>
      <w:r w:rsidR="003C27F9">
        <w:rPr>
          <w:rFonts w:ascii="Times New Roman" w:hAnsi="Times New Roman"/>
          <w:color w:val="000000"/>
          <w:sz w:val="24"/>
          <w:lang w:eastAsia="en-US"/>
        </w:rPr>
        <w:t>39</w:t>
      </w:r>
      <w:r w:rsidRPr="003C674D">
        <w:rPr>
          <w:rFonts w:ascii="Times New Roman" w:hAnsi="Times New Roman"/>
          <w:color w:val="000000"/>
          <w:sz w:val="24"/>
          <w:lang w:eastAsia="en-US"/>
        </w:rPr>
        <w:t>.3 papunktyje nurodytą informaciją, vertina darbo rinkai besirengiančio asmens pasirengimą darbo rinkai arba asmens pasirengimą dalyvauti Priemonėse ir Susitarimo pakeitimo ar nutraukimo tikslingumą. Įvertinus, kad:</w:t>
      </w:r>
    </w:p>
    <w:p w14:paraId="5CC841D2" w14:textId="77777777" w:rsidR="003C674D" w:rsidRPr="003C674D" w:rsidRDefault="003C674D" w:rsidP="008F347B">
      <w:pPr>
        <w:widowControl w:val="0"/>
        <w:numPr>
          <w:ilvl w:val="2"/>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darbo rinkai besirengiantis asmuo yra pasirengęs darbo rinkai ir šiam asmeniui raštu patvirtinus apie pasirengimą įsidarbinti priimant darbo pasiūlymą (nurodomas vardas, pavardė, gimimo data ir patvirtinimas apie pasirengimą įsidarbinti priimant darbo pasiūlymą), Susitarimas yra nutraukiamas ir Atvejo vadybininkas apie Susitarimo nutraukimą per 3 darbo dienas informuoja Užimtumo tarnybos Kauno klientų aptarnavimo departamento Kauno 3-ąjį skyrių (nurodomas vardas, pavardė, gimimo data, Susitarimo numeris ir nutraukimo data);</w:t>
      </w:r>
    </w:p>
    <w:p w14:paraId="09920622" w14:textId="77777777" w:rsidR="003C674D" w:rsidRPr="003C674D" w:rsidRDefault="003C674D" w:rsidP="008F347B">
      <w:pPr>
        <w:widowControl w:val="0"/>
        <w:numPr>
          <w:ilvl w:val="2"/>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Užimtumo įstatymo 48 straipsnio 2 dalies 1–10 ir (ar) 12 punktuose nurodytas asmuo yra pasirengęs dalyvauti Priemonėse arba darbo rinkai besirengiančiam asmeniui yra poreikis dalyvauti Priemonėse, Susitarimas pakeičiamas įtraukiant Priemonę (-es) (jei įtraukiama Aprašo 34.1. papunktyje nurodyta Priemonė, tai ne ilgesniam kaip 6 mėnesių laikotarpiui) ir nutraukiamas pabaigus dalyvavimą Priemonėje (-se) ir Paslaugų teikimą. Apie Susitarimo nutraukimą Atvejo vadybininkas per 3 darbo dienas informuoja Užimtumo tarnybą (nurodomas vardas, pavardė, gimimo data, Susitarimo numeris ir nutraukimo data);</w:t>
      </w:r>
    </w:p>
    <w:p w14:paraId="42020EF5" w14:textId="77777777" w:rsidR="003C674D" w:rsidRPr="003C674D" w:rsidRDefault="003C674D" w:rsidP="008F347B">
      <w:pPr>
        <w:widowControl w:val="0"/>
        <w:numPr>
          <w:ilvl w:val="2"/>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 xml:space="preserve">Susitarimas nėra vykdomas, nustatomos Susitarimo nevykdymo priežastys, </w:t>
      </w:r>
      <w:r w:rsidRPr="003C674D">
        <w:rPr>
          <w:rFonts w:ascii="Times New Roman" w:hAnsi="Times New Roman"/>
          <w:color w:val="000000"/>
          <w:sz w:val="24"/>
          <w:lang w:eastAsia="en-US"/>
        </w:rPr>
        <w:lastRenderedPageBreak/>
        <w:t>Susitarimas nutraukiamas ir Atvejo vadybininkas apie Susitarimo nutraukimą per 3 darbo dienas informuoja Užimtumo tarnybos Kauno klientų aptarnavimo departamento Kauno 3-ąjį skyrių (nurodomas vardas, pavardė, gimimo data, Susitarimo numeris ir nutraukimo data);</w:t>
      </w:r>
    </w:p>
    <w:p w14:paraId="6404A737" w14:textId="77777777" w:rsidR="003C674D" w:rsidRPr="003C674D" w:rsidRDefault="003C674D" w:rsidP="008F347B">
      <w:pPr>
        <w:widowControl w:val="0"/>
        <w:numPr>
          <w:ilvl w:val="2"/>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yra poreikis keisti pagal Susitarimą teikiamas Paslaugas ir (ar) Priemones, jų apimtį, teikimo eiliškumą, Susitarimas pakeičiamas;</w:t>
      </w:r>
    </w:p>
    <w:p w14:paraId="218FDD7F"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 xml:space="preserve"> asmeniui savarankiškai įsidarbinus terminuotai ne ilgesniam kaip 6 mėnesių trukmės laikotarpiui arba pradėjus vykdyti individualią veiklą pagal verslo liudijimą, ketinant ją vykdyti ne ilgiau kaip 6 mėnesius, ir prireikus tęsti Paslaugų teikimą, Susitarimas gali būti nenutraukiamas nurodytu laikotarpiu.</w:t>
      </w:r>
    </w:p>
    <w:p w14:paraId="273115EC" w14:textId="77777777" w:rsidR="003C674D" w:rsidRPr="003C674D" w:rsidRDefault="003C674D" w:rsidP="008F347B">
      <w:pPr>
        <w:widowControl w:val="0"/>
        <w:numPr>
          <w:ilvl w:val="0"/>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 xml:space="preserve"> Priemonių koordinatoriaus veiksmai:</w:t>
      </w:r>
    </w:p>
    <w:p w14:paraId="2122CED6"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Užimtumo įstatymo 48 straipsnio 2 dalies 1−10 ir 12 punktuose nurodytų asmenų galimybių dalyvauti Priemonėse vertinimas, kuris atliekamas pagal paties asmens ir (ar) Užimtumo tarnybos Kauno klientų aptarnavimo departamento Kauno 3-ojo skyriaus pateiktą informaciją apie asmens sveikatą, apribojimus dirbti siūlomą darbą, darbo patirtį, taikytas ir taikomas priemones ir (ar) paslaugas bei kitą informaciją, nurodytą Darbo ieškančio asmens kortelėje;</w:t>
      </w:r>
    </w:p>
    <w:p w14:paraId="4F65A1E3"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Priemonių parinkimas Užimtumo įstatymo 48 straipsnio 2 dalies 1−10 ir 12 punktuose nurodytiems asmenims, jeigu nustatoma, kad jie yra pasirengę ir gali dalyvauti Priemonėse bei darbo rinkai besirengiantiems asmenims, jeigu Atvejo komanda po Paslaugų teikimo nustato poreikį dalyvauti Priemonėse;</w:t>
      </w:r>
    </w:p>
    <w:p w14:paraId="09005982" w14:textId="77777777" w:rsidR="003C674D" w:rsidRPr="003C674D" w:rsidRDefault="003C674D" w:rsidP="008F347B">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Užimtumo įstatymo 48 straipsnio 2 dalies 1−10 ir 12 punktuose nurodytų asmenų nusiuntimas pas Atvejo vadybininką, jeigu nustatoma, kad jie nėra pasirengę dalyvauti Priemonėse ir būtų tikslinga šiems asmenims teikti Paslaugas.</w:t>
      </w:r>
    </w:p>
    <w:p w14:paraId="6D76941C" w14:textId="77777777" w:rsidR="003C674D" w:rsidRPr="003C674D" w:rsidRDefault="003C674D" w:rsidP="003C674D">
      <w:pPr>
        <w:widowControl w:val="0"/>
        <w:spacing w:line="276" w:lineRule="auto"/>
        <w:ind w:firstLine="851"/>
        <w:jc w:val="center"/>
        <w:rPr>
          <w:rFonts w:ascii="Times New Roman" w:eastAsia="Calibri" w:hAnsi="Times New Roman"/>
          <w:b/>
          <w:sz w:val="24"/>
          <w:szCs w:val="24"/>
          <w:lang w:eastAsia="en-US"/>
        </w:rPr>
      </w:pPr>
    </w:p>
    <w:p w14:paraId="791CE5BD" w14:textId="77777777" w:rsidR="003C674D" w:rsidRPr="003C674D" w:rsidRDefault="003C674D" w:rsidP="003C674D">
      <w:pPr>
        <w:widowControl w:val="0"/>
        <w:spacing w:line="276" w:lineRule="auto"/>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VII SKYRIUS</w:t>
      </w:r>
    </w:p>
    <w:p w14:paraId="64A66F55" w14:textId="77777777" w:rsidR="003C674D" w:rsidRPr="003C674D" w:rsidRDefault="003C674D" w:rsidP="003C674D">
      <w:pPr>
        <w:widowControl w:val="0"/>
        <w:spacing w:line="276" w:lineRule="auto"/>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 xml:space="preserve">PROGRAMOS ĮGYVENDINIMO PRIEŽIŪRA IR VERTINIMAS </w:t>
      </w:r>
    </w:p>
    <w:p w14:paraId="6009EA77" w14:textId="77777777" w:rsidR="003C674D" w:rsidRPr="003C674D" w:rsidRDefault="003C674D" w:rsidP="003C674D">
      <w:pPr>
        <w:widowControl w:val="0"/>
        <w:tabs>
          <w:tab w:val="left" w:pos="1560"/>
        </w:tabs>
        <w:spacing w:line="360" w:lineRule="auto"/>
        <w:ind w:firstLine="851"/>
        <w:jc w:val="center"/>
        <w:rPr>
          <w:rFonts w:ascii="Times New Roman" w:eastAsia="Calibri" w:hAnsi="Times New Roman"/>
          <w:sz w:val="24"/>
          <w:szCs w:val="24"/>
          <w:lang w:eastAsia="en-US"/>
        </w:rPr>
      </w:pPr>
    </w:p>
    <w:p w14:paraId="7774C838" w14:textId="77777777" w:rsidR="003C674D" w:rsidRDefault="003C674D" w:rsidP="008F347B">
      <w:pPr>
        <w:widowControl w:val="0"/>
        <w:numPr>
          <w:ilvl w:val="0"/>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3C674D">
        <w:rPr>
          <w:rFonts w:ascii="Times New Roman" w:hAnsi="Times New Roman"/>
          <w:color w:val="000000"/>
          <w:sz w:val="24"/>
          <w:lang w:eastAsia="en-US"/>
        </w:rPr>
        <w:t xml:space="preserve">Programos įgyvendinimo stebėseną vykdo ir pasiektos pažangos vertinimą atlieka Savivaldybės administracija. </w:t>
      </w:r>
    </w:p>
    <w:p w14:paraId="05EE15A8" w14:textId="3CB06AE9" w:rsidR="005A4F68" w:rsidRDefault="005A4F68" w:rsidP="005A4F68">
      <w:pPr>
        <w:widowControl w:val="0"/>
        <w:numPr>
          <w:ilvl w:val="0"/>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5A4F68">
        <w:rPr>
          <w:rFonts w:ascii="Times New Roman" w:hAnsi="Times New Roman"/>
          <w:color w:val="000000"/>
          <w:sz w:val="24"/>
          <w:lang w:eastAsia="en-US"/>
        </w:rPr>
        <w:t>Informaciją apie Programos priemonių vykdymą, lėšų panaudojimo pagal paskirtį stebėjimą, rodiklių pokyčius ir statistinius duomenis, Savivaldybės administracija teiks Socialinės apsaugos ir darbo ministerijai kiekvieno ketvirčio pabaigoje.</w:t>
      </w:r>
    </w:p>
    <w:p w14:paraId="4081C4E8" w14:textId="77777777" w:rsidR="005A4F68" w:rsidRPr="005A4F68" w:rsidRDefault="005A4F68" w:rsidP="005A4F68">
      <w:pPr>
        <w:widowControl w:val="0"/>
        <w:numPr>
          <w:ilvl w:val="0"/>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5A4F68">
        <w:rPr>
          <w:rFonts w:ascii="Times New Roman" w:hAnsi="Times New Roman"/>
          <w:color w:val="000000"/>
          <w:sz w:val="24"/>
          <w:lang w:eastAsia="en-US"/>
        </w:rPr>
        <w:t>Programos vertinimo rodikliai:</w:t>
      </w:r>
    </w:p>
    <w:p w14:paraId="1AC06F7B" w14:textId="651502E5" w:rsidR="003C674D" w:rsidRPr="001E7DB4" w:rsidRDefault="003C674D" w:rsidP="001E7DB4">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1E7DB4">
        <w:rPr>
          <w:rFonts w:ascii="Times New Roman" w:hAnsi="Times New Roman"/>
          <w:color w:val="000000"/>
          <w:sz w:val="24"/>
          <w:lang w:eastAsia="en-US"/>
        </w:rPr>
        <w:t>Priemonių įgyvendinime dalyvavusių asmenų skaičius;</w:t>
      </w:r>
    </w:p>
    <w:p w14:paraId="63817B4D" w14:textId="14AB32F9" w:rsidR="003C674D" w:rsidRPr="001E7DB4" w:rsidRDefault="003C674D" w:rsidP="001E7DB4">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1E7DB4">
        <w:rPr>
          <w:rFonts w:ascii="Times New Roman" w:hAnsi="Times New Roman"/>
          <w:color w:val="000000"/>
          <w:sz w:val="24"/>
          <w:lang w:eastAsia="en-US"/>
        </w:rPr>
        <w:t>Paslaugų teikime dalyvavusių asmenų skaičius;</w:t>
      </w:r>
    </w:p>
    <w:p w14:paraId="79642CF5" w14:textId="4B08AA15" w:rsidR="003C674D" w:rsidRPr="001E7DB4" w:rsidRDefault="003C674D" w:rsidP="001E7DB4">
      <w:pPr>
        <w:widowControl w:val="0"/>
        <w:numPr>
          <w:ilvl w:val="1"/>
          <w:numId w:val="4"/>
        </w:numPr>
        <w:tabs>
          <w:tab w:val="left" w:pos="1418"/>
          <w:tab w:val="left" w:pos="1560"/>
        </w:tabs>
        <w:spacing w:line="360" w:lineRule="auto"/>
        <w:ind w:left="0" w:firstLine="851"/>
        <w:contextualSpacing/>
        <w:jc w:val="both"/>
        <w:rPr>
          <w:rFonts w:ascii="Times New Roman" w:hAnsi="Times New Roman"/>
          <w:color w:val="000000"/>
          <w:sz w:val="24"/>
          <w:lang w:eastAsia="en-US"/>
        </w:rPr>
      </w:pPr>
      <w:r w:rsidRPr="001E7DB4">
        <w:rPr>
          <w:rFonts w:ascii="Times New Roman" w:hAnsi="Times New Roman"/>
          <w:color w:val="000000"/>
          <w:sz w:val="24"/>
          <w:lang w:eastAsia="en-US"/>
        </w:rPr>
        <w:t xml:space="preserve">Asmenų dalis iš Programos dalyvių skaičiaus, kurie pasibaigus Užimtumo </w:t>
      </w:r>
      <w:r w:rsidRPr="001E7DB4">
        <w:rPr>
          <w:rFonts w:ascii="Times New Roman" w:hAnsi="Times New Roman"/>
          <w:color w:val="000000"/>
          <w:sz w:val="24"/>
          <w:lang w:eastAsia="en-US"/>
        </w:rPr>
        <w:lastRenderedPageBreak/>
        <w:t>didinimo 2025 metų Programai, po 6 mėnesių dirbs arba vykdys savarankišką veiklą.</w:t>
      </w:r>
    </w:p>
    <w:p w14:paraId="131DBA1A" w14:textId="77777777" w:rsidR="00480DBF" w:rsidRPr="00480DBF" w:rsidRDefault="00480DBF" w:rsidP="00480DBF">
      <w:pPr>
        <w:pStyle w:val="Sraopastraipa"/>
        <w:widowControl w:val="0"/>
        <w:tabs>
          <w:tab w:val="left" w:pos="1560"/>
        </w:tabs>
        <w:spacing w:line="360" w:lineRule="auto"/>
        <w:ind w:left="851"/>
        <w:jc w:val="both"/>
        <w:rPr>
          <w:rFonts w:eastAsia="Calibri"/>
          <w:szCs w:val="24"/>
        </w:rPr>
      </w:pPr>
    </w:p>
    <w:p w14:paraId="76793E1A" w14:textId="77777777" w:rsidR="003C674D" w:rsidRPr="003C674D" w:rsidRDefault="003C674D" w:rsidP="003C674D">
      <w:pPr>
        <w:widowControl w:val="0"/>
        <w:spacing w:line="276" w:lineRule="auto"/>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VIII SKYRIUS</w:t>
      </w:r>
    </w:p>
    <w:p w14:paraId="2450504D" w14:textId="77777777" w:rsidR="003C674D" w:rsidRPr="003C674D" w:rsidRDefault="003C674D" w:rsidP="003C674D">
      <w:pPr>
        <w:widowControl w:val="0"/>
        <w:spacing w:line="276" w:lineRule="auto"/>
        <w:ind w:firstLine="851"/>
        <w:jc w:val="center"/>
        <w:rPr>
          <w:rFonts w:ascii="Times New Roman" w:eastAsia="Calibri" w:hAnsi="Times New Roman"/>
          <w:b/>
          <w:sz w:val="24"/>
          <w:szCs w:val="24"/>
          <w:lang w:eastAsia="en-US"/>
        </w:rPr>
      </w:pPr>
      <w:r w:rsidRPr="003C674D">
        <w:rPr>
          <w:rFonts w:ascii="Times New Roman" w:eastAsia="Calibri" w:hAnsi="Times New Roman"/>
          <w:b/>
          <w:sz w:val="24"/>
          <w:szCs w:val="24"/>
          <w:lang w:eastAsia="en-US"/>
        </w:rPr>
        <w:t>PROGRAMOS VIEŠINIMAS</w:t>
      </w:r>
    </w:p>
    <w:p w14:paraId="38256055" w14:textId="77777777" w:rsidR="003C674D" w:rsidRPr="003C674D" w:rsidRDefault="003C674D" w:rsidP="003C674D">
      <w:pPr>
        <w:widowControl w:val="0"/>
        <w:spacing w:line="360" w:lineRule="auto"/>
        <w:ind w:firstLine="851"/>
        <w:rPr>
          <w:rFonts w:ascii="Times New Roman" w:eastAsia="Calibri" w:hAnsi="Times New Roman"/>
          <w:b/>
          <w:sz w:val="24"/>
          <w:szCs w:val="24"/>
          <w:lang w:eastAsia="en-US"/>
        </w:rPr>
      </w:pPr>
    </w:p>
    <w:p w14:paraId="0CED65DD" w14:textId="77777777" w:rsidR="003C674D" w:rsidRPr="003C674D" w:rsidRDefault="003C674D">
      <w:pPr>
        <w:widowControl w:val="0"/>
        <w:numPr>
          <w:ilvl w:val="0"/>
          <w:numId w:val="3"/>
        </w:numPr>
        <w:spacing w:line="360" w:lineRule="auto"/>
        <w:ind w:left="0" w:firstLine="851"/>
        <w:contextualSpacing/>
        <w:jc w:val="both"/>
        <w:rPr>
          <w:rFonts w:ascii="Times New Roman" w:eastAsia="Calibri" w:hAnsi="Times New Roman"/>
          <w:sz w:val="24"/>
          <w:szCs w:val="24"/>
          <w:lang w:eastAsia="en-US"/>
        </w:rPr>
      </w:pPr>
      <w:r w:rsidRPr="003C674D">
        <w:rPr>
          <w:rFonts w:ascii="Times New Roman" w:eastAsia="Calibri" w:hAnsi="Times New Roman"/>
          <w:sz w:val="24"/>
          <w:szCs w:val="24"/>
          <w:lang w:eastAsia="en-US"/>
        </w:rPr>
        <w:t xml:space="preserve">Informacija apie Užimtumo didinimo programą, jos įgyvendinimą, pasiektus rezultatus ir Programai skirtų lėšų panaudojimą bus skelbiama Savivaldybės interneto svetainėje </w:t>
      </w:r>
      <w:hyperlink r:id="rId7" w:history="1">
        <w:r w:rsidRPr="003C674D">
          <w:rPr>
            <w:rFonts w:ascii="Times New Roman" w:eastAsia="Calibri" w:hAnsi="Times New Roman"/>
            <w:sz w:val="24"/>
            <w:szCs w:val="24"/>
            <w:lang w:eastAsia="en-US"/>
          </w:rPr>
          <w:t>www.krs.lt</w:t>
        </w:r>
      </w:hyperlink>
      <w:r w:rsidRPr="003C674D">
        <w:rPr>
          <w:rFonts w:ascii="Times New Roman" w:eastAsia="Calibri" w:hAnsi="Times New Roman"/>
          <w:sz w:val="24"/>
          <w:szCs w:val="24"/>
          <w:lang w:eastAsia="en-US"/>
        </w:rPr>
        <w:t xml:space="preserve"> ir susitikimuose su Užimtumo tarnybos Kauno klientų aptarnavimo departamentu.</w:t>
      </w:r>
    </w:p>
    <w:p w14:paraId="0A697F9E" w14:textId="77777777" w:rsidR="003C674D" w:rsidRPr="003C674D" w:rsidRDefault="003C674D" w:rsidP="003C674D">
      <w:pPr>
        <w:widowControl w:val="0"/>
        <w:tabs>
          <w:tab w:val="left" w:pos="5785"/>
        </w:tabs>
        <w:suppressAutoHyphens/>
        <w:spacing w:line="360" w:lineRule="auto"/>
        <w:ind w:firstLine="851"/>
        <w:jc w:val="center"/>
        <w:rPr>
          <w:rFonts w:ascii="Times New Roman" w:hAnsi="Times New Roman"/>
          <w:sz w:val="24"/>
          <w:szCs w:val="24"/>
        </w:rPr>
      </w:pPr>
      <w:r w:rsidRPr="003C674D">
        <w:rPr>
          <w:rFonts w:ascii="Times New Roman" w:hAnsi="Times New Roman"/>
          <w:sz w:val="24"/>
          <w:szCs w:val="24"/>
        </w:rPr>
        <w:t>_______________________</w:t>
      </w:r>
    </w:p>
    <w:p w14:paraId="0C5189F2" w14:textId="77777777" w:rsidR="003C674D" w:rsidRDefault="003C674D" w:rsidP="00894A24">
      <w:pPr>
        <w:spacing w:line="360" w:lineRule="auto"/>
        <w:jc w:val="both"/>
        <w:rPr>
          <w:rFonts w:ascii="Times New Roman" w:hAnsi="Times New Roman"/>
          <w:sz w:val="24"/>
          <w:szCs w:val="24"/>
        </w:rPr>
      </w:pPr>
    </w:p>
    <w:sectPr w:rsidR="003C674D" w:rsidSect="009975CB">
      <w:headerReference w:type="default" r:id="rId8"/>
      <w:headerReference w:type="first" r:id="rId9"/>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18B3" w14:textId="77777777" w:rsidR="00465ECE" w:rsidRDefault="00465ECE" w:rsidP="006C208E">
      <w:r>
        <w:separator/>
      </w:r>
    </w:p>
  </w:endnote>
  <w:endnote w:type="continuationSeparator" w:id="0">
    <w:p w14:paraId="680E8335" w14:textId="77777777" w:rsidR="00465ECE" w:rsidRDefault="00465ECE"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380E" w14:textId="77777777" w:rsidR="00465ECE" w:rsidRDefault="00465ECE" w:rsidP="006C208E">
      <w:r>
        <w:separator/>
      </w:r>
    </w:p>
  </w:footnote>
  <w:footnote w:type="continuationSeparator" w:id="0">
    <w:p w14:paraId="0E39A5B9" w14:textId="77777777" w:rsidR="00465ECE" w:rsidRDefault="00465ECE"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626887"/>
      <w:docPartObj>
        <w:docPartGallery w:val="Page Numbers (Top of Page)"/>
        <w:docPartUnique/>
      </w:docPartObj>
    </w:sdtPr>
    <w:sdtEndPr>
      <w:rPr>
        <w:rFonts w:ascii="Times New Roman" w:hAnsi="Times New Roman" w:cs="Times New Roman"/>
        <w:sz w:val="24"/>
        <w:szCs w:val="24"/>
      </w:rPr>
    </w:sdtEndPr>
    <w:sdtContent>
      <w:p w14:paraId="25200294" w14:textId="77777777" w:rsidR="002B7B84" w:rsidRPr="002B7B84" w:rsidRDefault="002B7B84">
        <w:pPr>
          <w:pStyle w:val="Antrats"/>
          <w:jc w:val="center"/>
          <w:rPr>
            <w:rFonts w:ascii="Times New Roman" w:hAnsi="Times New Roman" w:cs="Times New Roman"/>
            <w:sz w:val="24"/>
            <w:szCs w:val="24"/>
          </w:rPr>
        </w:pPr>
        <w:r w:rsidRPr="002B7B84">
          <w:rPr>
            <w:rFonts w:ascii="Times New Roman" w:hAnsi="Times New Roman" w:cs="Times New Roman"/>
            <w:sz w:val="24"/>
            <w:szCs w:val="24"/>
          </w:rPr>
          <w:fldChar w:fldCharType="begin"/>
        </w:r>
        <w:r w:rsidRPr="002B7B84">
          <w:rPr>
            <w:rFonts w:ascii="Times New Roman" w:hAnsi="Times New Roman" w:cs="Times New Roman"/>
            <w:sz w:val="24"/>
            <w:szCs w:val="24"/>
          </w:rPr>
          <w:instrText>PAGE   \* MERGEFORMAT</w:instrText>
        </w:r>
        <w:r w:rsidRPr="002B7B84">
          <w:rPr>
            <w:rFonts w:ascii="Times New Roman" w:hAnsi="Times New Roman" w:cs="Times New Roman"/>
            <w:sz w:val="24"/>
            <w:szCs w:val="24"/>
          </w:rPr>
          <w:fldChar w:fldCharType="separate"/>
        </w:r>
        <w:r w:rsidRPr="002B7B84">
          <w:rPr>
            <w:rFonts w:ascii="Times New Roman" w:hAnsi="Times New Roman" w:cs="Times New Roman"/>
            <w:sz w:val="24"/>
            <w:szCs w:val="24"/>
          </w:rPr>
          <w:t>2</w:t>
        </w:r>
        <w:r w:rsidRPr="002B7B84">
          <w:rPr>
            <w:rFonts w:ascii="Times New Roman" w:hAnsi="Times New Roman" w:cs="Times New Roman"/>
            <w:sz w:val="24"/>
            <w:szCs w:val="24"/>
          </w:rPr>
          <w:fldChar w:fldCharType="end"/>
        </w:r>
      </w:p>
    </w:sdtContent>
  </w:sdt>
  <w:p w14:paraId="580FC054" w14:textId="77777777" w:rsidR="002B7B84" w:rsidRDefault="002B7B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F66F" w14:textId="77777777" w:rsidR="006C208E" w:rsidRDefault="006C208E" w:rsidP="006C208E">
    <w:pPr>
      <w:jc w:val="center"/>
      <w:rPr>
        <w:sz w:val="16"/>
        <w:szCs w:val="16"/>
      </w:rPr>
    </w:pPr>
    <w:r>
      <w:rPr>
        <w:rFonts w:ascii="Times New Roman" w:hAnsi="Times New Roman"/>
        <w:noProof/>
      </w:rPr>
      <w:drawing>
        <wp:inline distT="0" distB="0" distL="0" distR="0" wp14:anchorId="40A81009" wp14:editId="0A7BFC25">
          <wp:extent cx="514350" cy="619125"/>
          <wp:effectExtent l="0" t="0" r="0" b="9525"/>
          <wp:docPr id="417659134" name="Paveikslėlis 417659134"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7C6CC82D" w14:textId="77777777" w:rsidR="006C208E" w:rsidRDefault="006C208E" w:rsidP="006C208E">
    <w:pPr>
      <w:jc w:val="center"/>
      <w:rPr>
        <w:sz w:val="16"/>
        <w:szCs w:val="16"/>
      </w:rPr>
    </w:pPr>
  </w:p>
  <w:p w14:paraId="74486DF7" w14:textId="77777777" w:rsidR="006C208E" w:rsidRPr="00615A29" w:rsidRDefault="006C208E" w:rsidP="006C208E">
    <w:pPr>
      <w:jc w:val="center"/>
      <w:rPr>
        <w:sz w:val="16"/>
        <w:szCs w:val="16"/>
      </w:rPr>
    </w:pPr>
  </w:p>
  <w:p w14:paraId="19AF943E" w14:textId="77777777"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14:paraId="7FD6DD92" w14:textId="77777777"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3188"/>
    <w:multiLevelType w:val="multilevel"/>
    <w:tmpl w:val="541E989E"/>
    <w:lvl w:ilvl="0">
      <w:start w:val="20"/>
      <w:numFmt w:val="decimal"/>
      <w:lvlText w:val="%1."/>
      <w:lvlJc w:val="left"/>
      <w:pPr>
        <w:ind w:left="5039" w:hanging="360"/>
      </w:pPr>
      <w:rPr>
        <w:rFonts w:hint="default"/>
        <w:b w:val="0"/>
        <w:bCs w:val="0"/>
        <w:color w:val="000000" w:themeColor="text1"/>
      </w:rPr>
    </w:lvl>
    <w:lvl w:ilvl="1">
      <w:start w:val="1"/>
      <w:numFmt w:val="decimal"/>
      <w:isLgl/>
      <w:lvlText w:val="%1.%2."/>
      <w:lvlJc w:val="left"/>
      <w:pPr>
        <w:ind w:left="4124" w:hanging="360"/>
      </w:pPr>
      <w:rPr>
        <w:rFonts w:hint="default"/>
        <w:color w:val="000000" w:themeColor="text1"/>
      </w:rPr>
    </w:lvl>
    <w:lvl w:ilvl="2">
      <w:start w:val="1"/>
      <w:numFmt w:val="decimal"/>
      <w:isLgl/>
      <w:lvlText w:val="%1.%2.%3."/>
      <w:lvlJc w:val="left"/>
      <w:pPr>
        <w:ind w:left="4484" w:hanging="720"/>
      </w:pPr>
      <w:rPr>
        <w:rFonts w:hint="default"/>
      </w:rPr>
    </w:lvl>
    <w:lvl w:ilvl="3">
      <w:start w:val="1"/>
      <w:numFmt w:val="decimal"/>
      <w:isLgl/>
      <w:lvlText w:val="%1.%2.%3.%4."/>
      <w:lvlJc w:val="left"/>
      <w:pPr>
        <w:ind w:left="4484"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4844" w:hanging="1080"/>
      </w:pPr>
      <w:rPr>
        <w:rFonts w:hint="default"/>
      </w:rPr>
    </w:lvl>
    <w:lvl w:ilvl="6">
      <w:start w:val="1"/>
      <w:numFmt w:val="decimal"/>
      <w:isLgl/>
      <w:lvlText w:val="%1.%2.%3.%4.%5.%6.%7."/>
      <w:lvlJc w:val="left"/>
      <w:pPr>
        <w:ind w:left="5204" w:hanging="1440"/>
      </w:pPr>
      <w:rPr>
        <w:rFonts w:hint="default"/>
      </w:rPr>
    </w:lvl>
    <w:lvl w:ilvl="7">
      <w:start w:val="1"/>
      <w:numFmt w:val="decimal"/>
      <w:isLgl/>
      <w:lvlText w:val="%1.%2.%3.%4.%5.%6.%7.%8."/>
      <w:lvlJc w:val="left"/>
      <w:pPr>
        <w:ind w:left="5204" w:hanging="1440"/>
      </w:pPr>
      <w:rPr>
        <w:rFonts w:hint="default"/>
      </w:rPr>
    </w:lvl>
    <w:lvl w:ilvl="8">
      <w:start w:val="1"/>
      <w:numFmt w:val="decimal"/>
      <w:isLgl/>
      <w:lvlText w:val="%1.%2.%3.%4.%5.%6.%7.%8.%9."/>
      <w:lvlJc w:val="left"/>
      <w:pPr>
        <w:ind w:left="5564" w:hanging="1800"/>
      </w:pPr>
      <w:rPr>
        <w:rFonts w:hint="default"/>
      </w:rPr>
    </w:lvl>
  </w:abstractNum>
  <w:abstractNum w:abstractNumId="1" w15:restartNumberingAfterBreak="0">
    <w:nsid w:val="44D322F4"/>
    <w:multiLevelType w:val="multilevel"/>
    <w:tmpl w:val="50BEE81E"/>
    <w:lvl w:ilvl="0">
      <w:start w:val="4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30401A5"/>
    <w:multiLevelType w:val="multilevel"/>
    <w:tmpl w:val="F3D6FF3E"/>
    <w:lvl w:ilvl="0">
      <w:start w:val="1"/>
      <w:numFmt w:val="decimal"/>
      <w:lvlText w:val="%1."/>
      <w:lvlJc w:val="left"/>
      <w:pPr>
        <w:ind w:left="5039" w:hanging="360"/>
      </w:pPr>
      <w:rPr>
        <w:b w:val="0"/>
        <w:bCs w:val="0"/>
        <w:color w:val="000000" w:themeColor="text1"/>
      </w:rPr>
    </w:lvl>
    <w:lvl w:ilvl="1">
      <w:start w:val="1"/>
      <w:numFmt w:val="decimal"/>
      <w:isLgl/>
      <w:lvlText w:val="%1.%2."/>
      <w:lvlJc w:val="left"/>
      <w:pPr>
        <w:ind w:left="4124" w:hanging="360"/>
      </w:pPr>
      <w:rPr>
        <w:rFonts w:hint="default"/>
        <w:color w:val="000000" w:themeColor="text1"/>
      </w:rPr>
    </w:lvl>
    <w:lvl w:ilvl="2">
      <w:start w:val="1"/>
      <w:numFmt w:val="decimal"/>
      <w:isLgl/>
      <w:lvlText w:val="%1.%2.%3."/>
      <w:lvlJc w:val="left"/>
      <w:pPr>
        <w:ind w:left="4484" w:hanging="720"/>
      </w:pPr>
      <w:rPr>
        <w:rFonts w:hint="default"/>
      </w:rPr>
    </w:lvl>
    <w:lvl w:ilvl="3">
      <w:start w:val="1"/>
      <w:numFmt w:val="decimal"/>
      <w:isLgl/>
      <w:lvlText w:val="%1.%2.%3.%4."/>
      <w:lvlJc w:val="left"/>
      <w:pPr>
        <w:ind w:left="4484"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4844" w:hanging="1080"/>
      </w:pPr>
      <w:rPr>
        <w:rFonts w:hint="default"/>
      </w:rPr>
    </w:lvl>
    <w:lvl w:ilvl="6">
      <w:start w:val="1"/>
      <w:numFmt w:val="decimal"/>
      <w:isLgl/>
      <w:lvlText w:val="%1.%2.%3.%4.%5.%6.%7."/>
      <w:lvlJc w:val="left"/>
      <w:pPr>
        <w:ind w:left="5204" w:hanging="1440"/>
      </w:pPr>
      <w:rPr>
        <w:rFonts w:hint="default"/>
      </w:rPr>
    </w:lvl>
    <w:lvl w:ilvl="7">
      <w:start w:val="1"/>
      <w:numFmt w:val="decimal"/>
      <w:isLgl/>
      <w:lvlText w:val="%1.%2.%3.%4.%5.%6.%7.%8."/>
      <w:lvlJc w:val="left"/>
      <w:pPr>
        <w:ind w:left="5204" w:hanging="1440"/>
      </w:pPr>
      <w:rPr>
        <w:rFonts w:hint="default"/>
      </w:rPr>
    </w:lvl>
    <w:lvl w:ilvl="8">
      <w:start w:val="1"/>
      <w:numFmt w:val="decimal"/>
      <w:isLgl/>
      <w:lvlText w:val="%1.%2.%3.%4.%5.%6.%7.%8.%9."/>
      <w:lvlJc w:val="left"/>
      <w:pPr>
        <w:ind w:left="5564" w:hanging="1800"/>
      </w:pPr>
      <w:rPr>
        <w:rFonts w:hint="default"/>
      </w:rPr>
    </w:lvl>
  </w:abstractNum>
  <w:abstractNum w:abstractNumId="3" w15:restartNumberingAfterBreak="0">
    <w:nsid w:val="5D915D22"/>
    <w:multiLevelType w:val="hybridMultilevel"/>
    <w:tmpl w:val="9DD457E2"/>
    <w:lvl w:ilvl="0" w:tplc="E87A10EC">
      <w:start w:val="43"/>
      <w:numFmt w:val="decimal"/>
      <w:lvlText w:val="%1."/>
      <w:lvlJc w:val="left"/>
      <w:pPr>
        <w:ind w:left="1920" w:hanging="360"/>
      </w:pPr>
      <w:rPr>
        <w:rFonts w:eastAsia="Times New Roman" w:hint="default"/>
        <w:color w:val="000000"/>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16cid:durableId="997344238">
    <w:abstractNumId w:val="2"/>
  </w:num>
  <w:num w:numId="2" w16cid:durableId="1826512014">
    <w:abstractNumId w:val="3"/>
  </w:num>
  <w:num w:numId="3" w16cid:durableId="733704472">
    <w:abstractNumId w:val="1"/>
  </w:num>
  <w:num w:numId="4" w16cid:durableId="97382965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332E4"/>
    <w:rsid w:val="00060A97"/>
    <w:rsid w:val="00074727"/>
    <w:rsid w:val="00093A64"/>
    <w:rsid w:val="000A5245"/>
    <w:rsid w:val="000B3C21"/>
    <w:rsid w:val="000F51B6"/>
    <w:rsid w:val="001150A6"/>
    <w:rsid w:val="00185C37"/>
    <w:rsid w:val="001A18CA"/>
    <w:rsid w:val="001E7DB4"/>
    <w:rsid w:val="001F1183"/>
    <w:rsid w:val="00206C66"/>
    <w:rsid w:val="00281399"/>
    <w:rsid w:val="00285AC9"/>
    <w:rsid w:val="002B7B84"/>
    <w:rsid w:val="002C20A7"/>
    <w:rsid w:val="002E143B"/>
    <w:rsid w:val="002E3920"/>
    <w:rsid w:val="0035222B"/>
    <w:rsid w:val="00387901"/>
    <w:rsid w:val="003B76FE"/>
    <w:rsid w:val="003C27F9"/>
    <w:rsid w:val="003C674D"/>
    <w:rsid w:val="003F6790"/>
    <w:rsid w:val="004003FF"/>
    <w:rsid w:val="00407447"/>
    <w:rsid w:val="004451D5"/>
    <w:rsid w:val="00445606"/>
    <w:rsid w:val="00465ECE"/>
    <w:rsid w:val="00480DBF"/>
    <w:rsid w:val="00485E50"/>
    <w:rsid w:val="004A1FE3"/>
    <w:rsid w:val="004D15A9"/>
    <w:rsid w:val="004F1BCD"/>
    <w:rsid w:val="004F2BE4"/>
    <w:rsid w:val="004F4886"/>
    <w:rsid w:val="005115FD"/>
    <w:rsid w:val="00513A01"/>
    <w:rsid w:val="00516EBB"/>
    <w:rsid w:val="005A4F68"/>
    <w:rsid w:val="005B0650"/>
    <w:rsid w:val="00611EB5"/>
    <w:rsid w:val="00616118"/>
    <w:rsid w:val="00642556"/>
    <w:rsid w:val="00683B4F"/>
    <w:rsid w:val="00694390"/>
    <w:rsid w:val="006B1A16"/>
    <w:rsid w:val="006B20CA"/>
    <w:rsid w:val="006B441F"/>
    <w:rsid w:val="006C208E"/>
    <w:rsid w:val="006D415C"/>
    <w:rsid w:val="006E6432"/>
    <w:rsid w:val="006F07E0"/>
    <w:rsid w:val="007514CE"/>
    <w:rsid w:val="007B329F"/>
    <w:rsid w:val="007B51D5"/>
    <w:rsid w:val="00821780"/>
    <w:rsid w:val="008262C6"/>
    <w:rsid w:val="00856DAD"/>
    <w:rsid w:val="0087686E"/>
    <w:rsid w:val="0088155A"/>
    <w:rsid w:val="00894A24"/>
    <w:rsid w:val="008969FA"/>
    <w:rsid w:val="00897415"/>
    <w:rsid w:val="008F347B"/>
    <w:rsid w:val="00944EE4"/>
    <w:rsid w:val="009975CB"/>
    <w:rsid w:val="009A1987"/>
    <w:rsid w:val="009A3F21"/>
    <w:rsid w:val="009C1F47"/>
    <w:rsid w:val="009C5445"/>
    <w:rsid w:val="00A37BEB"/>
    <w:rsid w:val="00A648BD"/>
    <w:rsid w:val="00A712CA"/>
    <w:rsid w:val="00AD6086"/>
    <w:rsid w:val="00AD78C4"/>
    <w:rsid w:val="00AE2806"/>
    <w:rsid w:val="00AF2C5C"/>
    <w:rsid w:val="00B3011D"/>
    <w:rsid w:val="00B32D27"/>
    <w:rsid w:val="00B401D2"/>
    <w:rsid w:val="00B54A3A"/>
    <w:rsid w:val="00B54F8A"/>
    <w:rsid w:val="00B80B52"/>
    <w:rsid w:val="00BA282A"/>
    <w:rsid w:val="00BD023E"/>
    <w:rsid w:val="00C17971"/>
    <w:rsid w:val="00C33647"/>
    <w:rsid w:val="00C50860"/>
    <w:rsid w:val="00C71845"/>
    <w:rsid w:val="00C80530"/>
    <w:rsid w:val="00C81922"/>
    <w:rsid w:val="00CD21D3"/>
    <w:rsid w:val="00CF0955"/>
    <w:rsid w:val="00D408DB"/>
    <w:rsid w:val="00D708EB"/>
    <w:rsid w:val="00DA730C"/>
    <w:rsid w:val="00DF1300"/>
    <w:rsid w:val="00E21177"/>
    <w:rsid w:val="00E21406"/>
    <w:rsid w:val="00E409DE"/>
    <w:rsid w:val="00E45418"/>
    <w:rsid w:val="00E54763"/>
    <w:rsid w:val="00EC3B10"/>
    <w:rsid w:val="00EC5752"/>
    <w:rsid w:val="00EF6592"/>
    <w:rsid w:val="00F13733"/>
    <w:rsid w:val="00F13988"/>
    <w:rsid w:val="00F30220"/>
    <w:rsid w:val="00F72783"/>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3206"/>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paragraph" w:styleId="Antrat2">
    <w:name w:val="heading 2"/>
    <w:basedOn w:val="prastasis"/>
    <w:next w:val="prastasis"/>
    <w:link w:val="Antrat2Diagrama"/>
    <w:uiPriority w:val="9"/>
    <w:semiHidden/>
    <w:unhideWhenUsed/>
    <w:qFormat/>
    <w:rsid w:val="003C674D"/>
    <w:pPr>
      <w:keepNext/>
      <w:keepLines/>
      <w:spacing w:before="40"/>
      <w:outlineLvl w:val="1"/>
    </w:pPr>
    <w:rPr>
      <w:rFonts w:asciiTheme="majorHAnsi" w:eastAsiaTheme="majorEastAsia" w:hAnsiTheme="majorHAnsi" w:cstheme="majorBidi"/>
      <w:color w:val="2F5496" w:themeColor="accent1" w:themeShade="BF"/>
      <w:szCs w:val="26"/>
    </w:rPr>
  </w:style>
  <w:style w:type="paragraph" w:styleId="Antrat3">
    <w:name w:val="heading 3"/>
    <w:basedOn w:val="prastasis"/>
    <w:next w:val="prastasis"/>
    <w:link w:val="Antrat3Diagrama"/>
    <w:uiPriority w:val="9"/>
    <w:semiHidden/>
    <w:unhideWhenUsed/>
    <w:qFormat/>
    <w:rsid w:val="003C674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uiPriority w:val="99"/>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83B4F"/>
    <w:rPr>
      <w:b/>
      <w:bCs/>
    </w:rPr>
  </w:style>
  <w:style w:type="character" w:customStyle="1" w:styleId="KomentarotemaDiagrama">
    <w:name w:val="Komentaro tema Diagrama"/>
    <w:basedOn w:val="KomentarotekstasDiagrama"/>
    <w:link w:val="Komentarotema"/>
    <w:uiPriority w:val="99"/>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character" w:customStyle="1" w:styleId="Antrat2Diagrama">
    <w:name w:val="Antraštė 2 Diagrama"/>
    <w:basedOn w:val="Numatytasispastraiposriftas"/>
    <w:link w:val="Antrat2"/>
    <w:uiPriority w:val="9"/>
    <w:semiHidden/>
    <w:rsid w:val="003C674D"/>
    <w:rPr>
      <w:rFonts w:asciiTheme="majorHAnsi" w:eastAsiaTheme="majorEastAsia" w:hAnsiTheme="majorHAnsi" w:cstheme="majorBidi"/>
      <w:color w:val="2F5496" w:themeColor="accent1" w:themeShade="BF"/>
      <w:kern w:val="0"/>
      <w:sz w:val="26"/>
      <w:szCs w:val="26"/>
      <w:lang w:eastAsia="lt-LT"/>
      <w14:ligatures w14:val="none"/>
    </w:rPr>
  </w:style>
  <w:style w:type="character" w:customStyle="1" w:styleId="Antrat3Diagrama">
    <w:name w:val="Antraštė 3 Diagrama"/>
    <w:basedOn w:val="Numatytasispastraiposriftas"/>
    <w:link w:val="Antrat3"/>
    <w:uiPriority w:val="9"/>
    <w:semiHidden/>
    <w:rsid w:val="003C674D"/>
    <w:rPr>
      <w:rFonts w:asciiTheme="majorHAnsi" w:eastAsiaTheme="majorEastAsia" w:hAnsiTheme="majorHAnsi" w:cstheme="majorBidi"/>
      <w:color w:val="1F3763" w:themeColor="accent1" w:themeShade="7F"/>
      <w:kern w:val="0"/>
      <w:sz w:val="24"/>
      <w:szCs w:val="24"/>
      <w:lang w:eastAsia="lt-LT"/>
      <w14:ligatures w14:val="none"/>
    </w:rPr>
  </w:style>
  <w:style w:type="numbering" w:customStyle="1" w:styleId="Sraonra1">
    <w:name w:val="Sąrašo nėra1"/>
    <w:next w:val="Sraonra"/>
    <w:uiPriority w:val="99"/>
    <w:semiHidden/>
    <w:unhideWhenUsed/>
    <w:rsid w:val="003C674D"/>
  </w:style>
  <w:style w:type="paragraph" w:styleId="prastasiniatinklio">
    <w:name w:val="Normal (Web)"/>
    <w:basedOn w:val="prastasis"/>
    <w:uiPriority w:val="99"/>
    <w:rsid w:val="003C674D"/>
    <w:pPr>
      <w:spacing w:after="200" w:line="276" w:lineRule="auto"/>
    </w:pPr>
    <w:rPr>
      <w:rFonts w:ascii="Times New Roman" w:eastAsia="Calibri" w:hAnsi="Times New Roman"/>
      <w:sz w:val="24"/>
      <w:szCs w:val="24"/>
      <w:lang w:val="en-US" w:eastAsia="en-US"/>
    </w:rPr>
  </w:style>
  <w:style w:type="paragraph" w:styleId="Pagrindinistekstas2">
    <w:name w:val="Body Text 2"/>
    <w:basedOn w:val="prastasis"/>
    <w:link w:val="Pagrindinistekstas2Diagrama"/>
    <w:uiPriority w:val="99"/>
    <w:semiHidden/>
    <w:unhideWhenUsed/>
    <w:rsid w:val="003C674D"/>
    <w:pPr>
      <w:spacing w:after="120" w:line="480" w:lineRule="auto"/>
    </w:pPr>
    <w:rPr>
      <w:rFonts w:ascii="Times New Roman" w:hAnsi="Times New Roman"/>
      <w:sz w:val="24"/>
      <w:szCs w:val="24"/>
    </w:rPr>
  </w:style>
  <w:style w:type="character" w:customStyle="1" w:styleId="Pagrindinistekstas2Diagrama">
    <w:name w:val="Pagrindinis tekstas 2 Diagrama"/>
    <w:basedOn w:val="Numatytasispastraiposriftas"/>
    <w:link w:val="Pagrindinistekstas2"/>
    <w:uiPriority w:val="99"/>
    <w:semiHidden/>
    <w:rsid w:val="003C674D"/>
    <w:rPr>
      <w:rFonts w:ascii="Times New Roman" w:eastAsia="Times New Roman" w:hAnsi="Times New Roman" w:cs="Times New Roman"/>
      <w:kern w:val="0"/>
      <w:sz w:val="24"/>
      <w:szCs w:val="24"/>
      <w:lang w:eastAsia="lt-LT"/>
      <w14:ligatures w14:val="none"/>
    </w:rPr>
  </w:style>
  <w:style w:type="character" w:customStyle="1" w:styleId="TekstasChar">
    <w:name w:val="Tekstas Char"/>
    <w:basedOn w:val="Numatytasispastraiposriftas"/>
    <w:link w:val="Tekstas"/>
    <w:locked/>
    <w:rsid w:val="003C674D"/>
    <w:rPr>
      <w:rFonts w:ascii="Times New Roman" w:eastAsia="Calibri" w:hAnsi="Times New Roman" w:cs="Times New Roman"/>
      <w:b/>
      <w:bCs/>
    </w:rPr>
  </w:style>
  <w:style w:type="paragraph" w:customStyle="1" w:styleId="Tekstas">
    <w:name w:val="Tekstas"/>
    <w:basedOn w:val="prastasis"/>
    <w:link w:val="TekstasChar"/>
    <w:autoRedefine/>
    <w:qFormat/>
    <w:rsid w:val="003C674D"/>
    <w:pPr>
      <w:widowControl w:val="0"/>
      <w:tabs>
        <w:tab w:val="left" w:pos="-1701"/>
        <w:tab w:val="left" w:pos="1418"/>
      </w:tabs>
      <w:ind w:firstLine="851"/>
      <w:jc w:val="center"/>
    </w:pPr>
    <w:rPr>
      <w:rFonts w:ascii="Times New Roman" w:eastAsia="Calibri" w:hAnsi="Times New Roman"/>
      <w:b/>
      <w:bCs/>
      <w:kern w:val="2"/>
      <w:sz w:val="22"/>
      <w:szCs w:val="22"/>
      <w:lang w:eastAsia="en-US"/>
      <w14:ligatures w14:val="standardContextual"/>
    </w:rPr>
  </w:style>
  <w:style w:type="table" w:styleId="Lentelstinklelis">
    <w:name w:val="Table Grid"/>
    <w:basedOn w:val="prastojilentel"/>
    <w:uiPriority w:val="39"/>
    <w:rsid w:val="003C674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C674D"/>
    <w:rPr>
      <w:b/>
      <w:bCs/>
    </w:rPr>
  </w:style>
  <w:style w:type="paragraph" w:customStyle="1" w:styleId="Default">
    <w:name w:val="Default"/>
    <w:rsid w:val="003C674D"/>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3C674D"/>
    <w:rPr>
      <w:color w:val="605E5C"/>
      <w:shd w:val="clear" w:color="auto" w:fill="E1DFDD"/>
    </w:rPr>
  </w:style>
  <w:style w:type="character" w:customStyle="1" w:styleId="docssharedwiztogglelabeledlabeltext">
    <w:name w:val="docssharedwiztogglelabeledlabeltext"/>
    <w:basedOn w:val="Numatytasispastraiposriftas"/>
    <w:rsid w:val="003C674D"/>
  </w:style>
  <w:style w:type="paragraph" w:styleId="Antrat">
    <w:name w:val="caption"/>
    <w:basedOn w:val="prastasis"/>
    <w:next w:val="prastasis"/>
    <w:uiPriority w:val="35"/>
    <w:unhideWhenUsed/>
    <w:qFormat/>
    <w:rsid w:val="003C674D"/>
    <w:pPr>
      <w:spacing w:after="200"/>
    </w:pPr>
    <w:rPr>
      <w:rFonts w:ascii="Times New Roman" w:hAnsi="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16061</Words>
  <Characters>9156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Edvinas Urbonas</cp:lastModifiedBy>
  <cp:revision>19</cp:revision>
  <dcterms:created xsi:type="dcterms:W3CDTF">2025-01-29T15:38:00Z</dcterms:created>
  <dcterms:modified xsi:type="dcterms:W3CDTF">2025-01-31T07:06:00Z</dcterms:modified>
</cp:coreProperties>
</file>