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CD4007" w:rsidRPr="00CD4007" w:rsidRDefault="00CD4007" w:rsidP="00CD4007">
      <w:pPr>
        <w:tabs>
          <w:tab w:val="left" w:pos="1296"/>
          <w:tab w:val="center" w:pos="4153"/>
          <w:tab w:val="right" w:pos="8306"/>
        </w:tabs>
        <w:jc w:val="center"/>
        <w:rPr>
          <w:rFonts w:ascii="Times New Roman" w:hAnsi="Times New Roman"/>
          <w:b/>
          <w:sz w:val="24"/>
          <w:szCs w:val="24"/>
        </w:rPr>
      </w:pPr>
      <w:r w:rsidRPr="00CD4007">
        <w:rPr>
          <w:rFonts w:ascii="Times New Roman" w:hAnsi="Times New Roman"/>
          <w:b/>
          <w:sz w:val="24"/>
          <w:szCs w:val="24"/>
        </w:rPr>
        <w:t>DĖL KAUNO RAJONO SAVIVALDYBĖS TARYBOS ANTIKORUPCIJOS KOMISIJOS 2025 M. VEIKLOS PLANO PATVIRTINIMO</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562BA9">
        <w:rPr>
          <w:rFonts w:ascii="Times New Roman" w:hAnsi="Times New Roman"/>
          <w:sz w:val="24"/>
          <w:szCs w:val="24"/>
        </w:rPr>
        <w:t>78</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1A18CA" w:rsidRDefault="001A18CA" w:rsidP="00D20CDE">
      <w:pPr>
        <w:pStyle w:val="Antrats"/>
        <w:spacing w:line="360" w:lineRule="auto"/>
        <w:jc w:val="both"/>
        <w:rPr>
          <w:rFonts w:ascii="Times New Roman" w:hAnsi="Times New Roman"/>
          <w:sz w:val="24"/>
          <w:szCs w:val="24"/>
        </w:rPr>
      </w:pPr>
    </w:p>
    <w:p w:rsidR="00D20CDE" w:rsidRDefault="00D20CDE" w:rsidP="00D20CDE">
      <w:pPr>
        <w:pStyle w:val="Antrats"/>
        <w:spacing w:line="360" w:lineRule="auto"/>
        <w:jc w:val="both"/>
        <w:rPr>
          <w:rFonts w:ascii="Times New Roman" w:hAnsi="Times New Roman"/>
          <w:sz w:val="24"/>
          <w:szCs w:val="24"/>
        </w:rPr>
      </w:pPr>
    </w:p>
    <w:p w:rsidR="00CD4007" w:rsidRPr="00CD4007" w:rsidRDefault="00CD4007" w:rsidP="00CD4007">
      <w:pPr>
        <w:tabs>
          <w:tab w:val="left" w:pos="1296"/>
          <w:tab w:val="center" w:pos="4153"/>
          <w:tab w:val="right" w:pos="8306"/>
        </w:tabs>
        <w:spacing w:line="360" w:lineRule="auto"/>
        <w:ind w:firstLine="851"/>
        <w:jc w:val="both"/>
        <w:rPr>
          <w:rFonts w:ascii="Times New Roman" w:hAnsi="Times New Roman"/>
          <w:spacing w:val="-4"/>
          <w:sz w:val="24"/>
          <w:szCs w:val="24"/>
        </w:rPr>
      </w:pPr>
      <w:r w:rsidRPr="00CD4007">
        <w:rPr>
          <w:rFonts w:ascii="Times New Roman" w:hAnsi="Times New Roman"/>
          <w:sz w:val="24"/>
          <w:szCs w:val="24"/>
        </w:rPr>
        <w:t xml:space="preserve">Vadovaudamasi Lietuvos Respublikos vietos savivaldos įstatymo 24 straipsnio </w:t>
      </w:r>
      <w:r w:rsidRPr="00CD4007">
        <w:rPr>
          <w:rFonts w:ascii="Times New Roman" w:hAnsi="Times New Roman"/>
          <w:sz w:val="24"/>
          <w:szCs w:val="24"/>
        </w:rPr>
        <w:br/>
        <w:t xml:space="preserve">3 dalies 2 ir 4 punktais, </w:t>
      </w:r>
      <w:bookmarkStart w:id="0" w:name="_Hlk190345696"/>
      <w:r w:rsidRPr="00CD4007">
        <w:rPr>
          <w:rFonts w:ascii="Times New Roman" w:hAnsi="Times New Roman"/>
          <w:sz w:val="24"/>
          <w:szCs w:val="24"/>
        </w:rPr>
        <w:t xml:space="preserve">Kauno rajono savivaldybės tarybos Antikorupcijos komisijos nuostatų, patvirtintų Kauno rajono savivaldybės tarybos 2024 m. vasario 22 d. sprendimu Nr. TS-98 </w:t>
      </w:r>
      <w:r w:rsidRPr="00CD4007">
        <w:rPr>
          <w:rFonts w:ascii="Times New Roman" w:hAnsi="Times New Roman"/>
          <w:sz w:val="24"/>
          <w:szCs w:val="24"/>
        </w:rPr>
        <w:br/>
        <w:t xml:space="preserve">„Dėl Kauno rajono savivaldybės Antikorupcijos komisijos nuostatų patvirtinimo“, 19 punktu, </w:t>
      </w:r>
      <w:bookmarkEnd w:id="0"/>
      <w:r w:rsidRPr="00CD4007">
        <w:rPr>
          <w:rFonts w:ascii="Times New Roman" w:hAnsi="Times New Roman"/>
          <w:sz w:val="24"/>
          <w:szCs w:val="24"/>
        </w:rPr>
        <w:t>Kauno rajono savivaldybės taryba</w:t>
      </w:r>
      <w:r w:rsidRPr="00CD4007">
        <w:rPr>
          <w:rFonts w:ascii="Times New Roman" w:hAnsi="Times New Roman"/>
          <w:spacing w:val="-4"/>
          <w:sz w:val="24"/>
          <w:szCs w:val="24"/>
        </w:rPr>
        <w:t xml:space="preserve"> </w:t>
      </w:r>
      <w:r w:rsidRPr="00CD4007">
        <w:rPr>
          <w:rFonts w:ascii="Times New Roman" w:hAnsi="Times New Roman"/>
          <w:spacing w:val="40"/>
          <w:sz w:val="24"/>
          <w:szCs w:val="24"/>
        </w:rPr>
        <w:t>nusprendži</w:t>
      </w:r>
      <w:r w:rsidRPr="00CD4007">
        <w:rPr>
          <w:rFonts w:ascii="Times New Roman" w:hAnsi="Times New Roman"/>
          <w:sz w:val="24"/>
          <w:szCs w:val="24"/>
        </w:rPr>
        <w:t>a:</w:t>
      </w:r>
    </w:p>
    <w:p w:rsidR="00CD4007" w:rsidRPr="00CD4007" w:rsidRDefault="00CD4007" w:rsidP="00CD4007">
      <w:pPr>
        <w:tabs>
          <w:tab w:val="left" w:pos="851"/>
          <w:tab w:val="center" w:pos="4153"/>
          <w:tab w:val="right" w:pos="8306"/>
        </w:tabs>
        <w:spacing w:line="360" w:lineRule="auto"/>
        <w:ind w:firstLine="851"/>
        <w:jc w:val="both"/>
        <w:rPr>
          <w:rFonts w:ascii="Times New Roman" w:hAnsi="Times New Roman"/>
          <w:sz w:val="24"/>
          <w:szCs w:val="24"/>
        </w:rPr>
      </w:pPr>
      <w:r w:rsidRPr="00CD4007">
        <w:rPr>
          <w:rFonts w:ascii="Times New Roman" w:hAnsi="Times New Roman"/>
          <w:sz w:val="24"/>
          <w:szCs w:val="24"/>
        </w:rPr>
        <w:t xml:space="preserve">Patvirtinti Kauno rajono savivaldybės tarybos Antikorupcijos komisijos </w:t>
      </w:r>
      <w:r w:rsidRPr="00CD4007">
        <w:rPr>
          <w:rFonts w:ascii="Times New Roman" w:hAnsi="Times New Roman"/>
          <w:sz w:val="24"/>
          <w:szCs w:val="24"/>
        </w:rPr>
        <w:br/>
        <w:t>2025 m. veiklos planą (pridedama).</w:t>
      </w:r>
    </w:p>
    <w:p w:rsidR="00CD4007" w:rsidRPr="00CD4007" w:rsidRDefault="00CD4007" w:rsidP="00CD4007">
      <w:pPr>
        <w:tabs>
          <w:tab w:val="left" w:pos="851"/>
        </w:tabs>
        <w:spacing w:line="360" w:lineRule="auto"/>
        <w:ind w:firstLine="851"/>
        <w:jc w:val="both"/>
        <w:rPr>
          <w:rFonts w:ascii="Times New Roman" w:eastAsia="Calibri" w:hAnsi="Times New Roman"/>
          <w:sz w:val="24"/>
          <w:szCs w:val="24"/>
          <w:lang w:eastAsia="en-US"/>
        </w:rPr>
      </w:pPr>
      <w:r w:rsidRPr="00CD4007">
        <w:rPr>
          <w:rFonts w:ascii="Times New Roman" w:eastAsia="Calibri" w:hAnsi="Times New Roman"/>
          <w:sz w:val="24"/>
          <w:szCs w:val="24"/>
          <w:lang w:eastAsia="en-US"/>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jo paskelbimo arba įteikimo suinteresuotam asmeniui dienos.</w:t>
      </w:r>
    </w:p>
    <w:p w:rsidR="00D20CDE" w:rsidRPr="00D20CDE" w:rsidRDefault="00D20CDE" w:rsidP="00D20CDE">
      <w:pPr>
        <w:tabs>
          <w:tab w:val="left" w:pos="851"/>
          <w:tab w:val="center" w:pos="4153"/>
          <w:tab w:val="right" w:pos="8306"/>
        </w:tabs>
        <w:spacing w:line="360" w:lineRule="auto"/>
        <w:ind w:firstLine="851"/>
        <w:jc w:val="both"/>
        <w:rPr>
          <w:rFonts w:ascii="Times New Roman" w:hAnsi="Times New Roman"/>
          <w:sz w:val="24"/>
          <w:szCs w:val="24"/>
        </w:rPr>
      </w:pPr>
    </w:p>
    <w:p w:rsidR="00D20CDE" w:rsidRDefault="00D20CDE" w:rsidP="00D20CDE">
      <w:pPr>
        <w:tabs>
          <w:tab w:val="left" w:pos="851"/>
          <w:tab w:val="center" w:pos="4153"/>
          <w:tab w:val="right" w:pos="8306"/>
        </w:tabs>
        <w:spacing w:line="360" w:lineRule="auto"/>
        <w:ind w:firstLine="851"/>
        <w:jc w:val="both"/>
        <w:rPr>
          <w:rFonts w:ascii="Times New Roman" w:hAnsi="Times New Roman"/>
          <w:sz w:val="24"/>
          <w:szCs w:val="24"/>
        </w:rPr>
      </w:pPr>
    </w:p>
    <w:p w:rsidR="00CD4007" w:rsidRDefault="00CD4007" w:rsidP="00562BA9">
      <w:pPr>
        <w:tabs>
          <w:tab w:val="left" w:pos="851"/>
          <w:tab w:val="right" w:pos="8931"/>
        </w:tabs>
        <w:spacing w:line="360" w:lineRule="auto"/>
        <w:jc w:val="both"/>
        <w:rPr>
          <w:rFonts w:ascii="Times New Roman" w:hAnsi="Times New Roman"/>
          <w:sz w:val="24"/>
          <w:szCs w:val="24"/>
        </w:rPr>
      </w:pPr>
      <w:r w:rsidRPr="00CD4007">
        <w:rPr>
          <w:rFonts w:ascii="Times New Roman" w:hAnsi="Times New Roman"/>
          <w:sz w:val="24"/>
          <w:szCs w:val="24"/>
        </w:rPr>
        <w:t>Savivaldybės meras</w:t>
      </w:r>
      <w:r w:rsidR="00562BA9">
        <w:rPr>
          <w:rFonts w:ascii="Times New Roman" w:hAnsi="Times New Roman"/>
          <w:sz w:val="24"/>
          <w:szCs w:val="24"/>
        </w:rPr>
        <w:tab/>
        <w:t>Valerijus Makūnas</w:t>
      </w: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562BA9" w:rsidRDefault="00562BA9" w:rsidP="00CD4007">
      <w:pPr>
        <w:tabs>
          <w:tab w:val="left" w:pos="851"/>
          <w:tab w:val="center" w:pos="4153"/>
          <w:tab w:val="right" w:pos="8306"/>
        </w:tabs>
        <w:spacing w:line="360" w:lineRule="auto"/>
        <w:jc w:val="both"/>
        <w:rPr>
          <w:rFonts w:ascii="Times New Roman" w:hAnsi="Times New Roman"/>
          <w:sz w:val="24"/>
          <w:szCs w:val="24"/>
        </w:rPr>
      </w:pPr>
    </w:p>
    <w:p w:rsidR="00562BA9" w:rsidRDefault="00562BA9" w:rsidP="00CD4007">
      <w:pPr>
        <w:tabs>
          <w:tab w:val="left" w:pos="851"/>
          <w:tab w:val="center" w:pos="4153"/>
          <w:tab w:val="right" w:pos="8306"/>
        </w:tabs>
        <w:spacing w:line="360" w:lineRule="auto"/>
        <w:jc w:val="both"/>
        <w:rPr>
          <w:rFonts w:ascii="Times New Roman" w:hAnsi="Times New Roman"/>
          <w:sz w:val="24"/>
          <w:szCs w:val="24"/>
        </w:rPr>
      </w:pPr>
    </w:p>
    <w:p w:rsidR="00562BA9" w:rsidRDefault="00562BA9" w:rsidP="00CD4007">
      <w:pPr>
        <w:tabs>
          <w:tab w:val="left" w:pos="851"/>
          <w:tab w:val="center" w:pos="4153"/>
          <w:tab w:val="right" w:pos="8306"/>
        </w:tabs>
        <w:spacing w:line="360" w:lineRule="auto"/>
        <w:jc w:val="both"/>
        <w:rPr>
          <w:rFonts w:ascii="Times New Roman" w:hAnsi="Times New Roman"/>
          <w:sz w:val="24"/>
          <w:szCs w:val="24"/>
        </w:rPr>
      </w:pPr>
    </w:p>
    <w:p w:rsidR="00562BA9" w:rsidRDefault="00562BA9" w:rsidP="00CD4007">
      <w:pPr>
        <w:tabs>
          <w:tab w:val="left" w:pos="851"/>
          <w:tab w:val="center" w:pos="4153"/>
          <w:tab w:val="right" w:pos="8306"/>
        </w:tabs>
        <w:spacing w:line="360" w:lineRule="auto"/>
        <w:jc w:val="both"/>
        <w:rPr>
          <w:rFonts w:ascii="Times New Roman" w:hAnsi="Times New Roman"/>
          <w:sz w:val="24"/>
          <w:szCs w:val="24"/>
        </w:rPr>
        <w:sectPr w:rsidR="00562BA9" w:rsidSect="00CD4007">
          <w:headerReference w:type="default" r:id="rId7"/>
          <w:headerReference w:type="first" r:id="rId8"/>
          <w:pgSz w:w="11906" w:h="16838"/>
          <w:pgMar w:top="1276" w:right="1133" w:bottom="1135" w:left="1701" w:header="426" w:footer="567" w:gutter="0"/>
          <w:pgNumType w:start="0"/>
          <w:cols w:space="1296"/>
          <w:titlePg/>
          <w:docGrid w:linePitch="360"/>
        </w:sectPr>
      </w:pPr>
    </w:p>
    <w:tbl>
      <w:tblPr>
        <w:tblStyle w:val="Lentelstinklelis"/>
        <w:tblpPr w:leftFromText="180" w:rightFromText="180" w:vertAnchor="text" w:horzAnchor="margin" w:tblpXSpec="right" w:tblpY="-112"/>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441C4" w:rsidTr="00F441C4">
        <w:tc>
          <w:tcPr>
            <w:tcW w:w="3686" w:type="dxa"/>
          </w:tcPr>
          <w:p w:rsidR="00F441C4" w:rsidRPr="00413EC9" w:rsidRDefault="00F441C4" w:rsidP="00F441C4">
            <w:pPr>
              <w:rPr>
                <w:rFonts w:ascii="Times New Roman" w:hAnsi="Times New Roman"/>
                <w:sz w:val="24"/>
                <w:szCs w:val="24"/>
              </w:rPr>
            </w:pPr>
            <w:r w:rsidRPr="00413EC9">
              <w:rPr>
                <w:rFonts w:ascii="Times New Roman" w:hAnsi="Times New Roman"/>
                <w:sz w:val="24"/>
                <w:szCs w:val="24"/>
              </w:rPr>
              <w:lastRenderedPageBreak/>
              <w:t>PATVIRTINTA</w:t>
            </w:r>
          </w:p>
          <w:p w:rsidR="00F441C4" w:rsidRDefault="00F441C4" w:rsidP="00F441C4">
            <w:pPr>
              <w:rPr>
                <w:rFonts w:ascii="Times New Roman" w:hAnsi="Times New Roman"/>
                <w:b/>
                <w:bCs/>
                <w:sz w:val="28"/>
                <w:szCs w:val="28"/>
              </w:rPr>
            </w:pPr>
            <w:r w:rsidRPr="00413EC9">
              <w:rPr>
                <w:rFonts w:ascii="Times New Roman" w:hAnsi="Times New Roman"/>
                <w:sz w:val="24"/>
                <w:szCs w:val="24"/>
              </w:rPr>
              <w:t>Kauno rajono savivaldybės tarybos 2025 m. vasario 27 d. sprendimu Nr. TS-</w:t>
            </w:r>
            <w:r>
              <w:rPr>
                <w:rFonts w:ascii="Times New Roman" w:hAnsi="Times New Roman"/>
                <w:sz w:val="24"/>
                <w:szCs w:val="24"/>
              </w:rPr>
              <w:t>78</w:t>
            </w:r>
          </w:p>
        </w:tc>
      </w:tr>
    </w:tbl>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jc w:val="center"/>
        <w:rPr>
          <w:rFonts w:ascii="Times New Roman" w:hAnsi="Times New Roman"/>
          <w:b/>
          <w:bCs/>
          <w:sz w:val="24"/>
          <w:szCs w:val="24"/>
        </w:rPr>
      </w:pPr>
    </w:p>
    <w:p w:rsidR="001A32FF" w:rsidRDefault="001A32FF" w:rsidP="00CD4007">
      <w:pPr>
        <w:jc w:val="center"/>
        <w:rPr>
          <w:rFonts w:ascii="Times New Roman" w:hAnsi="Times New Roman"/>
          <w:b/>
          <w:bCs/>
          <w:sz w:val="24"/>
          <w:szCs w:val="24"/>
        </w:rPr>
      </w:pPr>
    </w:p>
    <w:p w:rsidR="001A32FF" w:rsidRDefault="001A32FF" w:rsidP="00CD4007">
      <w:pPr>
        <w:jc w:val="center"/>
        <w:rPr>
          <w:rFonts w:ascii="Times New Roman" w:hAnsi="Times New Roman"/>
          <w:b/>
          <w:bCs/>
          <w:sz w:val="24"/>
          <w:szCs w:val="24"/>
        </w:rPr>
      </w:pPr>
    </w:p>
    <w:p w:rsidR="001A32FF" w:rsidRDefault="00CD4007" w:rsidP="00CD4007">
      <w:pPr>
        <w:jc w:val="center"/>
        <w:rPr>
          <w:rFonts w:ascii="Times New Roman" w:hAnsi="Times New Roman"/>
          <w:b/>
          <w:bCs/>
          <w:sz w:val="24"/>
          <w:szCs w:val="24"/>
        </w:rPr>
      </w:pPr>
      <w:r w:rsidRPr="00CD4007">
        <w:rPr>
          <w:rFonts w:ascii="Times New Roman" w:hAnsi="Times New Roman"/>
          <w:b/>
          <w:bCs/>
          <w:sz w:val="24"/>
          <w:szCs w:val="24"/>
        </w:rPr>
        <w:t>KAUNO RAJONO SAVIVALDYBĖS TARYBOS</w:t>
      </w:r>
    </w:p>
    <w:p w:rsidR="00CD4007" w:rsidRPr="00CD4007" w:rsidRDefault="00CD4007" w:rsidP="00CD4007">
      <w:pPr>
        <w:jc w:val="center"/>
        <w:rPr>
          <w:rFonts w:ascii="Times New Roman" w:hAnsi="Times New Roman"/>
          <w:b/>
          <w:bCs/>
          <w:sz w:val="24"/>
          <w:szCs w:val="24"/>
        </w:rPr>
      </w:pPr>
      <w:r w:rsidRPr="00CD4007">
        <w:rPr>
          <w:rFonts w:ascii="Times New Roman" w:hAnsi="Times New Roman"/>
          <w:b/>
          <w:bCs/>
          <w:sz w:val="24"/>
          <w:szCs w:val="24"/>
        </w:rPr>
        <w:t xml:space="preserve"> ANTIKORUPCIJOS KOMISIJOS </w:t>
      </w:r>
    </w:p>
    <w:p w:rsidR="00CD4007" w:rsidRPr="00CD4007" w:rsidRDefault="00CD4007" w:rsidP="00CD4007">
      <w:pPr>
        <w:jc w:val="center"/>
        <w:rPr>
          <w:rFonts w:ascii="Times New Roman" w:hAnsi="Times New Roman"/>
          <w:b/>
          <w:bCs/>
          <w:sz w:val="24"/>
          <w:szCs w:val="24"/>
        </w:rPr>
      </w:pPr>
      <w:r w:rsidRPr="00CD4007">
        <w:rPr>
          <w:rFonts w:ascii="Times New Roman" w:hAnsi="Times New Roman"/>
          <w:b/>
          <w:bCs/>
          <w:sz w:val="24"/>
          <w:szCs w:val="24"/>
        </w:rPr>
        <w:t>2025 M. VEIKLOS PLANAS</w:t>
      </w:r>
    </w:p>
    <w:p w:rsidR="00CD4007" w:rsidRPr="00CD4007" w:rsidRDefault="00CD4007" w:rsidP="00CD4007">
      <w:pPr>
        <w:jc w:val="center"/>
        <w:rPr>
          <w:rFonts w:ascii="Times New Roman" w:hAnsi="Times New Roman"/>
          <w:b/>
          <w:bCs/>
          <w:sz w:val="28"/>
          <w:szCs w:val="28"/>
        </w:rPr>
      </w:pPr>
    </w:p>
    <w:tbl>
      <w:tblPr>
        <w:tblStyle w:val="Lentelstinklelis"/>
        <w:tblW w:w="9776" w:type="dxa"/>
        <w:tblLayout w:type="fixed"/>
        <w:tblLook w:val="04A0" w:firstRow="1" w:lastRow="0" w:firstColumn="1" w:lastColumn="0" w:noHBand="0" w:noVBand="1"/>
      </w:tblPr>
      <w:tblGrid>
        <w:gridCol w:w="704"/>
        <w:gridCol w:w="4820"/>
        <w:gridCol w:w="1701"/>
        <w:gridCol w:w="2551"/>
      </w:tblGrid>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 xml:space="preserve">Eil. </w:t>
            </w:r>
          </w:p>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 xml:space="preserve">Nr. </w:t>
            </w:r>
          </w:p>
        </w:tc>
        <w:tc>
          <w:tcPr>
            <w:tcW w:w="4820" w:type="dxa"/>
          </w:tcPr>
          <w:p w:rsidR="00CD4007" w:rsidRPr="00CD4007" w:rsidRDefault="00CD4007" w:rsidP="00CD4007">
            <w:pPr>
              <w:jc w:val="center"/>
              <w:rPr>
                <w:rFonts w:ascii="Times New Roman" w:hAnsi="Times New Roman"/>
                <w:sz w:val="24"/>
                <w:szCs w:val="24"/>
              </w:rPr>
            </w:pPr>
          </w:p>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Antikorupcijos komisijos veikla</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Atliktų veiksmų vertinimo kriterijai</w:t>
            </w:r>
          </w:p>
        </w:tc>
        <w:tc>
          <w:tcPr>
            <w:tcW w:w="2551" w:type="dxa"/>
          </w:tcPr>
          <w:p w:rsidR="00CD4007" w:rsidRPr="00CD4007" w:rsidRDefault="00CD4007" w:rsidP="00CD4007">
            <w:pPr>
              <w:jc w:val="center"/>
              <w:rPr>
                <w:rFonts w:ascii="Times New Roman" w:hAnsi="Times New Roman"/>
                <w:sz w:val="24"/>
                <w:szCs w:val="24"/>
              </w:rPr>
            </w:pPr>
          </w:p>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Priemonės</w:t>
            </w:r>
          </w:p>
        </w:tc>
      </w:tr>
      <w:tr w:rsidR="00CD4007" w:rsidRPr="00CD4007" w:rsidTr="00961FC3">
        <w:tc>
          <w:tcPr>
            <w:tcW w:w="9776" w:type="dxa"/>
            <w:gridSpan w:val="4"/>
          </w:tcPr>
          <w:p w:rsidR="00CD4007" w:rsidRPr="00CD4007" w:rsidRDefault="00CD4007" w:rsidP="00CD4007">
            <w:pPr>
              <w:spacing w:before="240" w:after="240"/>
              <w:rPr>
                <w:rFonts w:ascii="Times New Roman" w:hAnsi="Times New Roman"/>
                <w:b/>
                <w:bCs/>
                <w:sz w:val="24"/>
                <w:szCs w:val="24"/>
              </w:rPr>
            </w:pPr>
            <w:r w:rsidRPr="00CD4007">
              <w:rPr>
                <w:rFonts w:ascii="Times New Roman" w:hAnsi="Times New Roman"/>
                <w:b/>
                <w:bCs/>
                <w:sz w:val="24"/>
                <w:szCs w:val="24"/>
              </w:rPr>
              <w:t>1 uždavinys – Antikorupcijos komisijos darbo organizavimas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1.1</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Parengti ir savivaldybės tarybai pateikti 2024 metų Antikorupcijos komisijos veiklos ataskaitą</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100 proc.</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Parengtą ataskaitą pateikti savivaldybės tarybai iki kovo 1 d. </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1.2</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Parengti Antikorupcijos komisijos 2025 m. veiklos planą</w:t>
            </w:r>
          </w:p>
        </w:tc>
        <w:tc>
          <w:tcPr>
            <w:tcW w:w="1701" w:type="dxa"/>
          </w:tcPr>
          <w:p w:rsidR="00CD4007" w:rsidRPr="00CD4007" w:rsidRDefault="00CD4007" w:rsidP="00CD4007">
            <w:pPr>
              <w:jc w:val="center"/>
              <w:rPr>
                <w:rFonts w:ascii="Times New Roman" w:hAnsi="Times New Roman"/>
                <w:color w:val="FF0000"/>
                <w:sz w:val="24"/>
                <w:szCs w:val="24"/>
              </w:rPr>
            </w:pPr>
            <w:r w:rsidRPr="00CD4007">
              <w:rPr>
                <w:rFonts w:ascii="Times New Roman" w:hAnsi="Times New Roman"/>
                <w:sz w:val="24"/>
                <w:szCs w:val="24"/>
              </w:rPr>
              <w:t>100 proc.</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Parengti veiklos planą, patvirtinti savivaldybės taryboje iki kovo 1 d. </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1.3</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Organizuoti eilinius ir neeilinius Antikorupcijos komisijos posėdžius.</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Ne mažiau kaip 4 posėdžiai per metus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Organizuoti eilinius ir, prireikus, neeilinius posėdžius.</w:t>
            </w:r>
          </w:p>
          <w:p w:rsidR="00CD4007" w:rsidRPr="00CD4007" w:rsidRDefault="00CD4007" w:rsidP="00CD4007">
            <w:pPr>
              <w:jc w:val="both"/>
              <w:rPr>
                <w:rFonts w:ascii="Times New Roman" w:hAnsi="Times New Roman"/>
                <w:sz w:val="24"/>
                <w:szCs w:val="24"/>
              </w:rPr>
            </w:pP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1.4</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Tikslinti Antikorupcijos komisijos nuostatus, atsižvelgiant į įstatymų pataisas.</w:t>
            </w:r>
          </w:p>
          <w:p w:rsidR="00CD4007" w:rsidRPr="00CD4007" w:rsidRDefault="00CD4007" w:rsidP="00CD4007">
            <w:pPr>
              <w:jc w:val="both"/>
              <w:rPr>
                <w:rFonts w:ascii="Times New Roman" w:hAnsi="Times New Roman"/>
                <w:sz w:val="24"/>
                <w:szCs w:val="24"/>
              </w:rPr>
            </w:pP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Pagal poreikį</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Parengtus nuostatus teikti savivaldybės tarybai tvirtinti</w:t>
            </w:r>
          </w:p>
        </w:tc>
      </w:tr>
      <w:tr w:rsidR="00CD4007" w:rsidRPr="00CD4007" w:rsidTr="00961FC3">
        <w:tc>
          <w:tcPr>
            <w:tcW w:w="9776" w:type="dxa"/>
            <w:gridSpan w:val="4"/>
          </w:tcPr>
          <w:p w:rsidR="00CD4007" w:rsidRPr="00CD4007" w:rsidRDefault="00CD4007" w:rsidP="00CD4007">
            <w:pPr>
              <w:numPr>
                <w:ilvl w:val="0"/>
                <w:numId w:val="74"/>
              </w:numPr>
              <w:spacing w:before="240" w:after="240" w:line="259" w:lineRule="auto"/>
              <w:ind w:left="357" w:hanging="357"/>
              <w:contextualSpacing/>
              <w:jc w:val="both"/>
              <w:rPr>
                <w:rFonts w:ascii="Times New Roman" w:eastAsia="Calibri" w:hAnsi="Times New Roman"/>
                <w:b/>
                <w:bCs/>
                <w:sz w:val="24"/>
                <w:szCs w:val="24"/>
                <w:lang w:eastAsia="en-US"/>
              </w:rPr>
            </w:pPr>
            <w:r w:rsidRPr="00CD4007">
              <w:rPr>
                <w:rFonts w:ascii="Times New Roman" w:eastAsia="Calibri" w:hAnsi="Times New Roman"/>
                <w:b/>
                <w:bCs/>
                <w:sz w:val="24"/>
                <w:szCs w:val="24"/>
                <w:lang w:eastAsia="en-US"/>
              </w:rPr>
              <w:t>uždavinys – Antikorupcijos komisijos veikla įgyvendinant kovos su korupcija programą</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2.1</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Išklausyti Kauno rajono savivaldybės administracijos direktoriaus 2024 m. Korupcijos prevencijos programos įgyvendinimo ataskaitą.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100 proc.</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Išklausyti ataskaitą komisijos posėdyje iki kovo 1 d.</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2.2</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Vykdyti Savivaldybės korupcijos prevencijos programos įgyvendinimo stebėseną, teikti rekomendacijas. Prireikus inicijuoti programos pakeitimus ir papildymą.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Pagal poreikį</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Pateiktų rekomendacijų, pasiūlymų, pakeitimų ir papildymų skaičius.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2.3</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Atlikti pateiktų rekomendacijų vykdymo stebėseną.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 xml:space="preserve">Ne mažiau </w:t>
            </w:r>
          </w:p>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95 proc.</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Įvykdytų rekomendacijų procentas nuo teiktų rekomendacijų.</w:t>
            </w:r>
          </w:p>
        </w:tc>
      </w:tr>
      <w:tr w:rsidR="00CD4007" w:rsidRPr="00CD4007" w:rsidTr="00961FC3">
        <w:tc>
          <w:tcPr>
            <w:tcW w:w="9776" w:type="dxa"/>
            <w:gridSpan w:val="4"/>
          </w:tcPr>
          <w:p w:rsidR="00CD4007" w:rsidRPr="00CD4007" w:rsidRDefault="00CD4007" w:rsidP="00CD4007">
            <w:pPr>
              <w:numPr>
                <w:ilvl w:val="0"/>
                <w:numId w:val="74"/>
              </w:numPr>
              <w:spacing w:before="240" w:after="240" w:line="259" w:lineRule="auto"/>
              <w:ind w:left="357" w:hanging="357"/>
              <w:contextualSpacing/>
              <w:jc w:val="both"/>
              <w:rPr>
                <w:rFonts w:ascii="Times New Roman" w:eastAsia="Calibri" w:hAnsi="Times New Roman"/>
                <w:b/>
                <w:bCs/>
                <w:sz w:val="24"/>
                <w:szCs w:val="24"/>
                <w:lang w:eastAsia="en-US"/>
              </w:rPr>
            </w:pPr>
            <w:r w:rsidRPr="00CD4007">
              <w:rPr>
                <w:rFonts w:ascii="Times New Roman" w:eastAsia="Calibri" w:hAnsi="Times New Roman"/>
                <w:b/>
                <w:bCs/>
                <w:sz w:val="24"/>
                <w:szCs w:val="24"/>
                <w:lang w:eastAsia="en-US"/>
              </w:rPr>
              <w:t>uždavinys – Antikorupcijos komisijos veikla atliekant korupcijos prevencijos priemonių įgyvendinimą bei kontrolę savivaldybėje</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3.1</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Analizuoti ir vertinti savivaldybės administracijos vykdytus viešuosius pirkimus.</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Ne mažiau</w:t>
            </w:r>
            <w:r w:rsidRPr="00CD4007">
              <w:rPr>
                <w:rFonts w:ascii="Times New Roman" w:hAnsi="Times New Roman"/>
                <w:color w:val="FF0000"/>
                <w:sz w:val="24"/>
                <w:szCs w:val="24"/>
              </w:rPr>
              <w:t xml:space="preserve"> </w:t>
            </w:r>
            <w:r w:rsidRPr="00CD4007">
              <w:rPr>
                <w:rFonts w:ascii="Times New Roman" w:hAnsi="Times New Roman"/>
                <w:color w:val="000000"/>
                <w:sz w:val="24"/>
                <w:szCs w:val="24"/>
              </w:rPr>
              <w:t xml:space="preserve">kaip </w:t>
            </w:r>
            <w:r w:rsidRPr="00CD4007">
              <w:rPr>
                <w:rFonts w:ascii="Times New Roman" w:hAnsi="Times New Roman"/>
                <w:sz w:val="24"/>
                <w:szCs w:val="24"/>
              </w:rPr>
              <w:t>6 viešieji pirkimai</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Išanalizuotų viešųjų pirkimų skaičius per metus.</w:t>
            </w:r>
          </w:p>
          <w:p w:rsidR="00CD4007" w:rsidRPr="00CD4007" w:rsidRDefault="00CD4007" w:rsidP="00CD4007">
            <w:pPr>
              <w:jc w:val="both"/>
              <w:rPr>
                <w:rFonts w:ascii="Times New Roman" w:hAnsi="Times New Roman"/>
                <w:sz w:val="24"/>
                <w:szCs w:val="24"/>
              </w:rPr>
            </w:pP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3.2</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Analizuoti ir vertinti biudžetinių įstaigų ir viešųjų įstaigų, kurių savininkė yra savivaldybė, savivaldybės valdomų įmonių vykdytus viešuosius pirkimus.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Ne mažiau kaip 4</w:t>
            </w:r>
            <w:r w:rsidRPr="00CD4007">
              <w:rPr>
                <w:rFonts w:ascii="Times New Roman" w:hAnsi="Times New Roman"/>
                <w:color w:val="FF0000"/>
                <w:sz w:val="24"/>
                <w:szCs w:val="24"/>
              </w:rPr>
              <w:t xml:space="preserve"> </w:t>
            </w:r>
            <w:r w:rsidRPr="00CD4007">
              <w:rPr>
                <w:rFonts w:ascii="Times New Roman" w:hAnsi="Times New Roman"/>
                <w:sz w:val="24"/>
                <w:szCs w:val="24"/>
              </w:rPr>
              <w:t>įstaigos ir įmonės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Išanalizuotų viešųjų pirkimų skaičius per metus.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lastRenderedPageBreak/>
              <w:t>3.3</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Keičiantis Kauno rajono savivaldybės Viešųjų pirkimų komisijų nariams tikrinti jų nešališkumą, nusišalinimus, kompetenciją.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Periodiškai 2 kartus per metus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Įvertinta Viešųjų pirkimų komisijos narių.</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3.4</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Teikti išvadas/rekomendacijas administracijos direktoriui, išnagrinėjus viešųjų pirkimų dokumentus.</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Po kiekvienų viešųjų pirkimų nagrinėjimo</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Teiktų išvadų/rekomendacijų skaičius per metus.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3.5</w:t>
            </w:r>
          </w:p>
          <w:p w:rsidR="00CD4007" w:rsidRPr="00CD4007" w:rsidRDefault="00CD4007" w:rsidP="00CD4007">
            <w:pPr>
              <w:jc w:val="center"/>
              <w:rPr>
                <w:rFonts w:ascii="Times New Roman" w:hAnsi="Times New Roman"/>
                <w:sz w:val="40"/>
                <w:szCs w:val="40"/>
              </w:rPr>
            </w:pP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Susipažinti su LR STT atliktos korupcijos rizikos savivaldybės institucijose, savivaldybės įstaigose analizės pasiūlymais, juos apsvarstyti ir pasiūlyti priemones STT nustatytiems korupcijos rizikos veiksniams šalinti.</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Prireikus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Pasiūlytų priemonių skaičius. </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3.6</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Susipažinti su sprendimų priėmėjams pateiktų analitinės antikorupcinės žvalgybos (AAŽ) analitinių pažymų apie nustatytas korupcijos grėsmes, rizikas ir jų veiksnius savivaldybių įstaigų valdymo srityse. </w:t>
            </w:r>
          </w:p>
        </w:tc>
        <w:tc>
          <w:tcPr>
            <w:tcW w:w="1701" w:type="dxa"/>
          </w:tcPr>
          <w:p w:rsidR="00CD4007" w:rsidRPr="00CD4007" w:rsidRDefault="00CD4007" w:rsidP="00CD4007">
            <w:pPr>
              <w:jc w:val="center"/>
              <w:rPr>
                <w:rFonts w:ascii="Times New Roman" w:hAnsi="Times New Roman"/>
                <w:color w:val="FF0000"/>
                <w:sz w:val="24"/>
                <w:szCs w:val="24"/>
              </w:rPr>
            </w:pPr>
            <w:r w:rsidRPr="00CD4007">
              <w:rPr>
                <w:rFonts w:ascii="Times New Roman" w:hAnsi="Times New Roman"/>
                <w:sz w:val="24"/>
                <w:szCs w:val="24"/>
              </w:rPr>
              <w:t>Prireikus</w:t>
            </w:r>
          </w:p>
        </w:tc>
        <w:tc>
          <w:tcPr>
            <w:tcW w:w="2551" w:type="dxa"/>
          </w:tcPr>
          <w:p w:rsidR="00CD4007" w:rsidRPr="00CD4007" w:rsidRDefault="00CD4007" w:rsidP="00CD4007">
            <w:pPr>
              <w:jc w:val="both"/>
              <w:rPr>
                <w:rFonts w:ascii="Times New Roman" w:hAnsi="Times New Roman"/>
                <w:color w:val="FF0000"/>
                <w:sz w:val="24"/>
                <w:szCs w:val="24"/>
              </w:rPr>
            </w:pPr>
            <w:r w:rsidRPr="00CD4007">
              <w:rPr>
                <w:rFonts w:ascii="Times New Roman" w:hAnsi="Times New Roman"/>
                <w:sz w:val="24"/>
                <w:szCs w:val="24"/>
              </w:rPr>
              <w:t>Nagrinėtų pažymų skaičius.</w:t>
            </w:r>
          </w:p>
        </w:tc>
      </w:tr>
      <w:tr w:rsidR="00CD4007" w:rsidRPr="00CD4007" w:rsidTr="00961FC3">
        <w:tc>
          <w:tcPr>
            <w:tcW w:w="9776" w:type="dxa"/>
            <w:gridSpan w:val="4"/>
          </w:tcPr>
          <w:p w:rsidR="00CD4007" w:rsidRPr="00CD4007" w:rsidRDefault="00CD4007" w:rsidP="00CD4007">
            <w:pPr>
              <w:numPr>
                <w:ilvl w:val="0"/>
                <w:numId w:val="74"/>
              </w:numPr>
              <w:spacing w:before="240" w:after="240" w:line="259" w:lineRule="auto"/>
              <w:ind w:left="357" w:hanging="357"/>
              <w:contextualSpacing/>
              <w:jc w:val="both"/>
              <w:rPr>
                <w:rFonts w:ascii="Times New Roman" w:eastAsia="Calibri" w:hAnsi="Times New Roman"/>
                <w:b/>
                <w:bCs/>
                <w:sz w:val="24"/>
                <w:szCs w:val="24"/>
                <w:lang w:eastAsia="en-US"/>
              </w:rPr>
            </w:pPr>
            <w:r w:rsidRPr="00CD4007">
              <w:rPr>
                <w:rFonts w:ascii="Times New Roman" w:eastAsia="Calibri" w:hAnsi="Times New Roman"/>
                <w:b/>
                <w:bCs/>
                <w:sz w:val="24"/>
                <w:szCs w:val="24"/>
                <w:lang w:eastAsia="en-US"/>
              </w:rPr>
              <w:t>uždavinys – Antikorupcijos komisijos veikla įtraukiant gyventojus į korupcijos prevencijos įgyvendinimą</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4.1</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Išnagrinėti gyventojų pateiktus skundus/pranešimus.</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100 proc.</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Išnagrinėtų skundų/pranešimų skaičius, proc.</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4.2</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Teikti išvadas/rekomendacijas tarybai ir administracijos direktoriui, atsižvelgiant į gautų skundų nagrinėjimo rezultatus.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Prireikus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Teiktų išvadų/rekomendacijų skaičius.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4.3</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Pateikti STT ar kitoms atsakingoms institucijoms gautą informaciją apie korupcines veikas, turinčias nusikalstamos veikos požymių.</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Prireikus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Perduotos informacijos skaičius.</w:t>
            </w:r>
          </w:p>
        </w:tc>
      </w:tr>
      <w:tr w:rsidR="00CD4007" w:rsidRPr="00CD4007" w:rsidTr="00961FC3">
        <w:tc>
          <w:tcPr>
            <w:tcW w:w="9776" w:type="dxa"/>
            <w:gridSpan w:val="4"/>
          </w:tcPr>
          <w:p w:rsidR="00CD4007" w:rsidRPr="00CD4007" w:rsidRDefault="00CD4007" w:rsidP="00CD4007">
            <w:pPr>
              <w:numPr>
                <w:ilvl w:val="0"/>
                <w:numId w:val="74"/>
              </w:numPr>
              <w:spacing w:before="240" w:after="240" w:line="259" w:lineRule="auto"/>
              <w:ind w:left="357" w:right="3155" w:hanging="357"/>
              <w:contextualSpacing/>
              <w:jc w:val="both"/>
              <w:rPr>
                <w:rFonts w:ascii="Times New Roman" w:eastAsia="Calibri" w:hAnsi="Times New Roman"/>
                <w:b/>
                <w:bCs/>
                <w:sz w:val="24"/>
                <w:szCs w:val="24"/>
                <w:lang w:eastAsia="en-US"/>
              </w:rPr>
            </w:pPr>
            <w:r w:rsidRPr="00CD4007">
              <w:rPr>
                <w:rFonts w:ascii="Times New Roman" w:eastAsia="Calibri" w:hAnsi="Times New Roman"/>
                <w:b/>
                <w:bCs/>
                <w:sz w:val="24"/>
                <w:szCs w:val="24"/>
                <w:lang w:eastAsia="en-US"/>
              </w:rPr>
              <w:t>uždavinys – Antikorupcijos komisijos bendradarbiavimas, švietimas, veiklos viešinimas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5.1</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Bendradarbiauti su savivaldybės administracija, valstybės institucijomis ir įstaigomis, nevyriausybinėmis organizacijomis, savivaldybės bendruomene, žiniasklaidos atstovais, siekiant skatinti visuomenės nepakantumą korupcijos apraiškoms.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Prireikus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Institucijų, su kuriomis bendradarbiauta, skaičius. </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5.2</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Komisijos nariams didinti antikorupcinį sąmoningumą.</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Ne mažiau kaip 2 priemonės vienam komisijos nariu</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Mokymų, konsultacijų, seminarų skaičius. </w:t>
            </w:r>
          </w:p>
          <w:p w:rsidR="00CD4007" w:rsidRPr="00CD4007" w:rsidRDefault="00CD4007" w:rsidP="00CD4007">
            <w:pPr>
              <w:jc w:val="both"/>
              <w:rPr>
                <w:rFonts w:ascii="Times New Roman" w:hAnsi="Times New Roman"/>
                <w:sz w:val="24"/>
                <w:szCs w:val="24"/>
              </w:rPr>
            </w:pP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5.3</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Savivaldybės interneto svetainėje nuolat atnaujinti informaciją susijusią su Antikorupcijos komisijos veikla ir korupcijai atsparios aplinkos kūrimu savivaldybėje.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Nuolat</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Informacijos atnaujinimas pagal poreikį.</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5.4</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Bendradarbiaujant su savivaldybės administracija, dalyvauti jos organizuojamuose renginiuose skirtuose korupcijos prevencijos žinių gilinimui.</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Gavus kvietimus į renginius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Renginių skaičius, dalyvavusių komisijos narių skaičius.</w:t>
            </w:r>
          </w:p>
        </w:tc>
      </w:tr>
      <w:tr w:rsidR="00CD4007" w:rsidRPr="00CD4007" w:rsidTr="00961FC3">
        <w:tc>
          <w:tcPr>
            <w:tcW w:w="704"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lastRenderedPageBreak/>
              <w:t>5.5</w:t>
            </w:r>
          </w:p>
        </w:tc>
        <w:tc>
          <w:tcPr>
            <w:tcW w:w="4820"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 xml:space="preserve">Suorganizuoti išvažiuojamąjį posėdį į pasirinktą Lietuvos savivaldybę. </w:t>
            </w:r>
          </w:p>
        </w:tc>
        <w:tc>
          <w:tcPr>
            <w:tcW w:w="1701" w:type="dxa"/>
          </w:tcPr>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Ne mažiau kaip 1 kartą per metus</w:t>
            </w:r>
          </w:p>
        </w:tc>
        <w:tc>
          <w:tcPr>
            <w:tcW w:w="2551" w:type="dxa"/>
          </w:tcPr>
          <w:p w:rsidR="00CD4007" w:rsidRPr="00CD4007" w:rsidRDefault="00CD4007" w:rsidP="00CD4007">
            <w:pPr>
              <w:jc w:val="both"/>
              <w:rPr>
                <w:rFonts w:ascii="Times New Roman" w:hAnsi="Times New Roman"/>
                <w:sz w:val="24"/>
                <w:szCs w:val="24"/>
              </w:rPr>
            </w:pPr>
            <w:r w:rsidRPr="00CD4007">
              <w:rPr>
                <w:rFonts w:ascii="Times New Roman" w:hAnsi="Times New Roman"/>
                <w:sz w:val="24"/>
                <w:szCs w:val="24"/>
              </w:rPr>
              <w:t>Suorganizuotų išvažiuojamųjų posėdžių skaičius.</w:t>
            </w:r>
          </w:p>
        </w:tc>
      </w:tr>
    </w:tbl>
    <w:p w:rsidR="00CD4007" w:rsidRPr="00CD4007" w:rsidRDefault="00CD4007" w:rsidP="00CD4007">
      <w:pPr>
        <w:jc w:val="center"/>
        <w:rPr>
          <w:rFonts w:ascii="Times New Roman" w:hAnsi="Times New Roman"/>
          <w:sz w:val="24"/>
          <w:szCs w:val="24"/>
        </w:rPr>
      </w:pPr>
      <w:r w:rsidRPr="00CD4007">
        <w:rPr>
          <w:rFonts w:ascii="Times New Roman" w:hAnsi="Times New Roman"/>
          <w:sz w:val="24"/>
          <w:szCs w:val="24"/>
        </w:rPr>
        <w:t>__________________________________</w:t>
      </w:r>
    </w:p>
    <w:p w:rsidR="00CD4007" w:rsidRPr="00D20CDE" w:rsidRDefault="00CD4007" w:rsidP="00CD4007">
      <w:pPr>
        <w:tabs>
          <w:tab w:val="left" w:pos="851"/>
          <w:tab w:val="center" w:pos="4153"/>
          <w:tab w:val="right" w:pos="8306"/>
        </w:tabs>
        <w:spacing w:line="360" w:lineRule="auto"/>
        <w:jc w:val="both"/>
        <w:rPr>
          <w:rFonts w:ascii="Times New Roman" w:hAnsi="Times New Roman"/>
          <w:sz w:val="24"/>
          <w:szCs w:val="24"/>
        </w:rPr>
      </w:pPr>
    </w:p>
    <w:sectPr w:rsidR="00CD4007" w:rsidRPr="00D20CDE" w:rsidSect="00CD4007">
      <w:headerReference w:type="first" r:id="rId9"/>
      <w:pgSz w:w="11906" w:h="16838"/>
      <w:pgMar w:top="1276" w:right="1133" w:bottom="1135"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21B" w:rsidRDefault="00F5121B" w:rsidP="006C208E">
      <w:r>
        <w:separator/>
      </w:r>
    </w:p>
  </w:endnote>
  <w:endnote w:type="continuationSeparator" w:id="0">
    <w:p w:rsidR="00F5121B" w:rsidRDefault="00F5121B"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21B" w:rsidRDefault="00F5121B" w:rsidP="006C208E">
      <w:r>
        <w:separator/>
      </w:r>
    </w:p>
  </w:footnote>
  <w:footnote w:type="continuationSeparator" w:id="0">
    <w:p w:rsidR="00F5121B" w:rsidRDefault="00F5121B"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632968"/>
      <w:docPartObj>
        <w:docPartGallery w:val="Page Numbers (Top of Page)"/>
        <w:docPartUnique/>
      </w:docPartObj>
    </w:sdtPr>
    <w:sdtContent>
      <w:p w:rsidR="00CD4007" w:rsidRDefault="00CD4007">
        <w:pPr>
          <w:pStyle w:val="Antrats"/>
          <w:jc w:val="center"/>
        </w:pPr>
        <w:r w:rsidRPr="00CD4007">
          <w:rPr>
            <w:rFonts w:ascii="Times New Roman" w:hAnsi="Times New Roman" w:cs="Times New Roman"/>
            <w:sz w:val="24"/>
            <w:szCs w:val="24"/>
          </w:rPr>
          <w:fldChar w:fldCharType="begin"/>
        </w:r>
        <w:r w:rsidRPr="00CD4007">
          <w:rPr>
            <w:rFonts w:ascii="Times New Roman" w:hAnsi="Times New Roman" w:cs="Times New Roman"/>
            <w:sz w:val="24"/>
            <w:szCs w:val="24"/>
          </w:rPr>
          <w:instrText>PAGE   \* MERGEFORMAT</w:instrText>
        </w:r>
        <w:r w:rsidRPr="00CD4007">
          <w:rPr>
            <w:rFonts w:ascii="Times New Roman" w:hAnsi="Times New Roman" w:cs="Times New Roman"/>
            <w:sz w:val="24"/>
            <w:szCs w:val="24"/>
          </w:rPr>
          <w:fldChar w:fldCharType="separate"/>
        </w:r>
        <w:r w:rsidRPr="00CD4007">
          <w:rPr>
            <w:rFonts w:ascii="Times New Roman" w:hAnsi="Times New Roman" w:cs="Times New Roman"/>
            <w:sz w:val="24"/>
            <w:szCs w:val="24"/>
          </w:rPr>
          <w:t>2</w:t>
        </w:r>
        <w:r w:rsidRPr="00CD4007">
          <w:rPr>
            <w:rFonts w:ascii="Times New Roman" w:hAnsi="Times New Roman" w:cs="Times New Roman"/>
            <w:sz w:val="24"/>
            <w:szCs w:val="24"/>
          </w:rPr>
          <w:fldChar w:fldCharType="end"/>
        </w:r>
      </w:p>
    </w:sdtContent>
  </w:sdt>
  <w:p w:rsidR="00CD4007" w:rsidRDefault="00CD40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007" w:rsidRDefault="00CD4007" w:rsidP="00CD4007">
    <w:pPr>
      <w:jc w:val="center"/>
      <w:rPr>
        <w:sz w:val="16"/>
        <w:szCs w:val="16"/>
      </w:rPr>
    </w:pPr>
    <w:r>
      <w:rPr>
        <w:rFonts w:ascii="Times New Roman" w:hAnsi="Times New Roman"/>
        <w:noProof/>
      </w:rPr>
      <w:drawing>
        <wp:inline distT="0" distB="0" distL="0" distR="0" wp14:anchorId="3506BA2A" wp14:editId="5E20A6D6">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CD4007" w:rsidRDefault="00CD4007" w:rsidP="00CD4007">
    <w:pPr>
      <w:jc w:val="center"/>
      <w:rPr>
        <w:sz w:val="16"/>
        <w:szCs w:val="16"/>
      </w:rPr>
    </w:pPr>
  </w:p>
  <w:p w:rsidR="00CD4007" w:rsidRPr="00615A29" w:rsidRDefault="00CD4007" w:rsidP="00CD4007">
    <w:pPr>
      <w:jc w:val="center"/>
      <w:rPr>
        <w:sz w:val="16"/>
        <w:szCs w:val="16"/>
      </w:rPr>
    </w:pPr>
  </w:p>
  <w:p w:rsidR="00986BEC" w:rsidRDefault="00CD4007" w:rsidP="00CD4007">
    <w:pPr>
      <w:jc w:val="center"/>
      <w:rPr>
        <w:rFonts w:ascii="Times New Roman" w:hAnsi="Times New Roman"/>
        <w:b/>
        <w:sz w:val="28"/>
      </w:rPr>
    </w:pPr>
    <w:r>
      <w:rPr>
        <w:rFonts w:ascii="Times New Roman" w:hAnsi="Times New Roman"/>
        <w:b/>
        <w:sz w:val="28"/>
      </w:rPr>
      <w:t>KAUNO RAJONO SAVIVALDYBĖS TARYBA</w:t>
    </w:r>
  </w:p>
  <w:p w:rsidR="00CD4007" w:rsidRPr="00CD4007" w:rsidRDefault="00CD4007" w:rsidP="00CD4007">
    <w:pPr>
      <w:jc w:val="center"/>
      <w:rPr>
        <w:rFonts w:ascii="Times New Roman" w:hAnsi="Times New Roman"/>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007" w:rsidRPr="00CD4007" w:rsidRDefault="00CD4007" w:rsidP="00CD4007">
    <w:pP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5"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39"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3"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6"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7"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1"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3"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2"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18"/>
  </w:num>
  <w:num w:numId="2" w16cid:durableId="290745122">
    <w:abstractNumId w:val="47"/>
  </w:num>
  <w:num w:numId="3" w16cid:durableId="1224680073">
    <w:abstractNumId w:val="61"/>
  </w:num>
  <w:num w:numId="4" w16cid:durableId="976375760">
    <w:abstractNumId w:val="69"/>
  </w:num>
  <w:num w:numId="5" w16cid:durableId="1892233344">
    <w:abstractNumId w:val="53"/>
  </w:num>
  <w:num w:numId="6" w16cid:durableId="437528417">
    <w:abstractNumId w:val="14"/>
  </w:num>
  <w:num w:numId="7" w16cid:durableId="1567453486">
    <w:abstractNumId w:val="60"/>
  </w:num>
  <w:num w:numId="8" w16cid:durableId="614794725">
    <w:abstractNumId w:val="15"/>
  </w:num>
  <w:num w:numId="9" w16cid:durableId="1957252286">
    <w:abstractNumId w:val="68"/>
  </w:num>
  <w:num w:numId="10" w16cid:durableId="1130830728">
    <w:abstractNumId w:val="51"/>
  </w:num>
  <w:num w:numId="11" w16cid:durableId="1384717337">
    <w:abstractNumId w:val="42"/>
  </w:num>
  <w:num w:numId="12" w16cid:durableId="58984685">
    <w:abstractNumId w:val="25"/>
  </w:num>
  <w:num w:numId="13" w16cid:durableId="1148398605">
    <w:abstractNumId w:val="5"/>
  </w:num>
  <w:num w:numId="14" w16cid:durableId="1389955936">
    <w:abstractNumId w:val="1"/>
  </w:num>
  <w:num w:numId="15" w16cid:durableId="118964181">
    <w:abstractNumId w:val="71"/>
  </w:num>
  <w:num w:numId="16" w16cid:durableId="1199008935">
    <w:abstractNumId w:val="45"/>
  </w:num>
  <w:num w:numId="17" w16cid:durableId="385836542">
    <w:abstractNumId w:val="59"/>
  </w:num>
  <w:num w:numId="18" w16cid:durableId="3480928">
    <w:abstractNumId w:val="44"/>
  </w:num>
  <w:num w:numId="19" w16cid:durableId="1608199286">
    <w:abstractNumId w:val="27"/>
  </w:num>
  <w:num w:numId="20" w16cid:durableId="8258304">
    <w:abstractNumId w:val="67"/>
  </w:num>
  <w:num w:numId="21" w16cid:durableId="1997419339">
    <w:abstractNumId w:val="24"/>
  </w:num>
  <w:num w:numId="22" w16cid:durableId="851721089">
    <w:abstractNumId w:val="12"/>
  </w:num>
  <w:num w:numId="23" w16cid:durableId="535124550">
    <w:abstractNumId w:val="4"/>
  </w:num>
  <w:num w:numId="24" w16cid:durableId="1997224420">
    <w:abstractNumId w:val="58"/>
  </w:num>
  <w:num w:numId="25" w16cid:durableId="795567547">
    <w:abstractNumId w:val="28"/>
  </w:num>
  <w:num w:numId="26" w16cid:durableId="1442798306">
    <w:abstractNumId w:val="2"/>
  </w:num>
  <w:num w:numId="27" w16cid:durableId="396245367">
    <w:abstractNumId w:val="72"/>
  </w:num>
  <w:num w:numId="28" w16cid:durableId="1362971886">
    <w:abstractNumId w:val="16"/>
  </w:num>
  <w:num w:numId="29" w16cid:durableId="978877163">
    <w:abstractNumId w:val="50"/>
  </w:num>
  <w:num w:numId="30" w16cid:durableId="179927861">
    <w:abstractNumId w:val="40"/>
  </w:num>
  <w:num w:numId="31" w16cid:durableId="2132048593">
    <w:abstractNumId w:val="32"/>
  </w:num>
  <w:num w:numId="32" w16cid:durableId="731855634">
    <w:abstractNumId w:val="34"/>
  </w:num>
  <w:num w:numId="33" w16cid:durableId="1835341387">
    <w:abstractNumId w:val="36"/>
  </w:num>
  <w:num w:numId="34" w16cid:durableId="1179277880">
    <w:abstractNumId w:val="37"/>
  </w:num>
  <w:num w:numId="35" w16cid:durableId="1545218894">
    <w:abstractNumId w:val="21"/>
  </w:num>
  <w:num w:numId="36" w16cid:durableId="17004205">
    <w:abstractNumId w:val="56"/>
  </w:num>
  <w:num w:numId="37" w16cid:durableId="1512061000">
    <w:abstractNumId w:val="0"/>
  </w:num>
  <w:num w:numId="38" w16cid:durableId="1368482767">
    <w:abstractNumId w:val="29"/>
  </w:num>
  <w:num w:numId="39" w16cid:durableId="1812938295">
    <w:abstractNumId w:val="11"/>
  </w:num>
  <w:num w:numId="40" w16cid:durableId="1910965002">
    <w:abstractNumId w:val="63"/>
  </w:num>
  <w:num w:numId="41" w16cid:durableId="977613010">
    <w:abstractNumId w:val="43"/>
  </w:num>
  <w:num w:numId="42" w16cid:durableId="1254433458">
    <w:abstractNumId w:val="48"/>
  </w:num>
  <w:num w:numId="43" w16cid:durableId="2026058572">
    <w:abstractNumId w:val="26"/>
  </w:num>
  <w:num w:numId="44" w16cid:durableId="968978676">
    <w:abstractNumId w:val="9"/>
  </w:num>
  <w:num w:numId="45" w16cid:durableId="686641945">
    <w:abstractNumId w:val="35"/>
  </w:num>
  <w:num w:numId="46" w16cid:durableId="621614210">
    <w:abstractNumId w:val="19"/>
  </w:num>
  <w:num w:numId="47" w16cid:durableId="1012760157">
    <w:abstractNumId w:val="64"/>
  </w:num>
  <w:num w:numId="48" w16cid:durableId="798568988">
    <w:abstractNumId w:val="41"/>
  </w:num>
  <w:num w:numId="49" w16cid:durableId="1698310958">
    <w:abstractNumId w:val="55"/>
  </w:num>
  <w:num w:numId="50" w16cid:durableId="1614819822">
    <w:abstractNumId w:val="10"/>
  </w:num>
  <w:num w:numId="51" w16cid:durableId="1142114413">
    <w:abstractNumId w:val="65"/>
  </w:num>
  <w:num w:numId="52" w16cid:durableId="2101101457">
    <w:abstractNumId w:val="46"/>
  </w:num>
  <w:num w:numId="53" w16cid:durableId="194542002">
    <w:abstractNumId w:val="30"/>
  </w:num>
  <w:num w:numId="54" w16cid:durableId="719524099">
    <w:abstractNumId w:val="7"/>
  </w:num>
  <w:num w:numId="55" w16cid:durableId="1171603216">
    <w:abstractNumId w:val="22"/>
  </w:num>
  <w:num w:numId="56" w16cid:durableId="1153374064">
    <w:abstractNumId w:val="66"/>
  </w:num>
  <w:num w:numId="57" w16cid:durableId="878518644">
    <w:abstractNumId w:val="13"/>
  </w:num>
  <w:num w:numId="58" w16cid:durableId="1141919799">
    <w:abstractNumId w:val="33"/>
  </w:num>
  <w:num w:numId="59" w16cid:durableId="452670403">
    <w:abstractNumId w:val="70"/>
  </w:num>
  <w:num w:numId="60" w16cid:durableId="1085036064">
    <w:abstractNumId w:val="8"/>
  </w:num>
  <w:num w:numId="61" w16cid:durableId="1064646418">
    <w:abstractNumId w:val="31"/>
  </w:num>
  <w:num w:numId="62" w16cid:durableId="538392673">
    <w:abstractNumId w:val="6"/>
  </w:num>
  <w:num w:numId="63" w16cid:durableId="1579897031">
    <w:abstractNumId w:val="23"/>
  </w:num>
  <w:num w:numId="64" w16cid:durableId="1620842946">
    <w:abstractNumId w:val="39"/>
  </w:num>
  <w:num w:numId="65" w16cid:durableId="6495972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7"/>
  </w:num>
  <w:num w:numId="67" w16cid:durableId="148521654">
    <w:abstractNumId w:val="3"/>
  </w:num>
  <w:num w:numId="68" w16cid:durableId="1284574732">
    <w:abstractNumId w:val="20"/>
  </w:num>
  <w:num w:numId="69" w16cid:durableId="1849128260">
    <w:abstractNumId w:val="62"/>
  </w:num>
  <w:num w:numId="70" w16cid:durableId="444155293">
    <w:abstractNumId w:val="73"/>
  </w:num>
  <w:num w:numId="71" w16cid:durableId="643119689">
    <w:abstractNumId w:val="38"/>
  </w:num>
  <w:num w:numId="72" w16cid:durableId="1087649533">
    <w:abstractNumId w:val="54"/>
  </w:num>
  <w:num w:numId="73" w16cid:durableId="1811434052">
    <w:abstractNumId w:val="52"/>
  </w:num>
  <w:num w:numId="74" w16cid:durableId="41039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F51B6"/>
    <w:rsid w:val="00106F79"/>
    <w:rsid w:val="001150A6"/>
    <w:rsid w:val="00185C37"/>
    <w:rsid w:val="001A18CA"/>
    <w:rsid w:val="001A32FF"/>
    <w:rsid w:val="001F5AB1"/>
    <w:rsid w:val="00206C66"/>
    <w:rsid w:val="00281399"/>
    <w:rsid w:val="00285AC9"/>
    <w:rsid w:val="002B7DD2"/>
    <w:rsid w:val="002E3920"/>
    <w:rsid w:val="0035222B"/>
    <w:rsid w:val="003F6790"/>
    <w:rsid w:val="004003FF"/>
    <w:rsid w:val="00407447"/>
    <w:rsid w:val="004451D5"/>
    <w:rsid w:val="00485E50"/>
    <w:rsid w:val="004B1030"/>
    <w:rsid w:val="004F1BCD"/>
    <w:rsid w:val="004F2BE4"/>
    <w:rsid w:val="004F4886"/>
    <w:rsid w:val="00513A01"/>
    <w:rsid w:val="00516EBB"/>
    <w:rsid w:val="00557EEA"/>
    <w:rsid w:val="00562BA9"/>
    <w:rsid w:val="005E0983"/>
    <w:rsid w:val="00683B4F"/>
    <w:rsid w:val="006B1A16"/>
    <w:rsid w:val="006B20CA"/>
    <w:rsid w:val="006B441F"/>
    <w:rsid w:val="006C208E"/>
    <w:rsid w:val="006D415C"/>
    <w:rsid w:val="006F07E0"/>
    <w:rsid w:val="00731D2C"/>
    <w:rsid w:val="007514CE"/>
    <w:rsid w:val="00780D3B"/>
    <w:rsid w:val="007B51D5"/>
    <w:rsid w:val="00815959"/>
    <w:rsid w:val="00856DAD"/>
    <w:rsid w:val="0087686E"/>
    <w:rsid w:val="0088155A"/>
    <w:rsid w:val="008969FA"/>
    <w:rsid w:val="00897415"/>
    <w:rsid w:val="00944EE4"/>
    <w:rsid w:val="00986BEC"/>
    <w:rsid w:val="009975CB"/>
    <w:rsid w:val="009A1987"/>
    <w:rsid w:val="009A3F21"/>
    <w:rsid w:val="009C5445"/>
    <w:rsid w:val="009E47CD"/>
    <w:rsid w:val="009E4826"/>
    <w:rsid w:val="00A334E6"/>
    <w:rsid w:val="00A37BEB"/>
    <w:rsid w:val="00AE2806"/>
    <w:rsid w:val="00AF2C5C"/>
    <w:rsid w:val="00B32D27"/>
    <w:rsid w:val="00B401D2"/>
    <w:rsid w:val="00B54F8A"/>
    <w:rsid w:val="00B80B52"/>
    <w:rsid w:val="00BA282A"/>
    <w:rsid w:val="00C145A0"/>
    <w:rsid w:val="00C33647"/>
    <w:rsid w:val="00C71845"/>
    <w:rsid w:val="00C81922"/>
    <w:rsid w:val="00CD21D3"/>
    <w:rsid w:val="00CD4007"/>
    <w:rsid w:val="00CF0955"/>
    <w:rsid w:val="00D20CDE"/>
    <w:rsid w:val="00D408DB"/>
    <w:rsid w:val="00D708EB"/>
    <w:rsid w:val="00DA730C"/>
    <w:rsid w:val="00DF1300"/>
    <w:rsid w:val="00E21177"/>
    <w:rsid w:val="00E409DE"/>
    <w:rsid w:val="00E45418"/>
    <w:rsid w:val="00E54763"/>
    <w:rsid w:val="00EC3B10"/>
    <w:rsid w:val="00ED03AB"/>
    <w:rsid w:val="00EF6592"/>
    <w:rsid w:val="00F06EDD"/>
    <w:rsid w:val="00F13733"/>
    <w:rsid w:val="00F13988"/>
    <w:rsid w:val="00F30220"/>
    <w:rsid w:val="00F339BF"/>
    <w:rsid w:val="00F441C4"/>
    <w:rsid w:val="00F5121B"/>
    <w:rsid w:val="00F72783"/>
    <w:rsid w:val="00F73FDF"/>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3871</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dcterms:created xsi:type="dcterms:W3CDTF">2025-02-21T12:35:00Z</dcterms:created>
  <dcterms:modified xsi:type="dcterms:W3CDTF">2025-02-27T06:17:00Z</dcterms:modified>
</cp:coreProperties>
</file>