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040110" w:rsidRPr="00040110" w:rsidRDefault="00040110" w:rsidP="00040110">
      <w:pPr>
        <w:jc w:val="center"/>
        <w:rPr>
          <w:rFonts w:ascii="Times New Roman" w:eastAsia="Calibri" w:hAnsi="Times New Roman"/>
          <w:b/>
          <w:bCs/>
          <w:caps/>
          <w:sz w:val="24"/>
          <w:szCs w:val="24"/>
        </w:rPr>
      </w:pPr>
      <w:r w:rsidRPr="00040110">
        <w:rPr>
          <w:rFonts w:ascii="Times New Roman" w:eastAsia="Calibri" w:hAnsi="Times New Roman"/>
          <w:b/>
          <w:bCs/>
          <w:caps/>
          <w:sz w:val="24"/>
          <w:szCs w:val="24"/>
        </w:rPr>
        <w:t>Dėl Kauno rajono savivaldybės tarybos 2023 m. birželio 29 d. sprendimo Nr. TS-310 „Dėl Kauno rajono savivaldybės Pavadinimų sumanymo ir atminimo įamžinimo komisijos nuostatų patvirtinimo“ pakeitimo</w:t>
      </w:r>
    </w:p>
    <w:p w:rsidR="00185C37" w:rsidRDefault="00185C37" w:rsidP="00040110">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062570">
        <w:rPr>
          <w:rFonts w:ascii="Times New Roman" w:hAnsi="Times New Roman"/>
          <w:sz w:val="24"/>
          <w:szCs w:val="24"/>
        </w:rPr>
        <w:t>176</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040110" w:rsidRPr="00040110" w:rsidRDefault="00040110" w:rsidP="00040110">
      <w:pPr>
        <w:spacing w:line="360" w:lineRule="auto"/>
        <w:ind w:firstLine="851"/>
        <w:jc w:val="both"/>
        <w:rPr>
          <w:rFonts w:ascii="Times New Roman" w:eastAsia="Calibri" w:hAnsi="Times New Roman"/>
          <w:sz w:val="24"/>
          <w:szCs w:val="24"/>
        </w:rPr>
      </w:pPr>
      <w:r w:rsidRPr="00040110">
        <w:rPr>
          <w:rFonts w:ascii="Times New Roman" w:eastAsia="Calibri" w:hAnsi="Times New Roman"/>
          <w:color w:val="000000"/>
          <w:sz w:val="24"/>
          <w:szCs w:val="24"/>
        </w:rPr>
        <w:t>Vadovaudamasi Lietuvos Respublikos vietos savivaldos įstatymo 15 straipsnio 2 dalies 4 punktu, 22 straipsnio 2 dalimi, Kauno rajono savivaldybės tarybos reglamento, patvirtinto Kauno rajono savivaldybės tarybos 2023 m. kovo 30 d. sprendimu Nr. TS-176 ,,Dėl Kauno rajono savivaldybės tarybos reglamento patvirtinimo“, 97 punktu</w:t>
      </w:r>
      <w:r w:rsidRPr="00040110">
        <w:rPr>
          <w:rFonts w:ascii="Times New Roman" w:eastAsia="Calibri" w:hAnsi="Times New Roman"/>
          <w:spacing w:val="-2"/>
          <w:sz w:val="24"/>
          <w:szCs w:val="24"/>
        </w:rPr>
        <w:t xml:space="preserve">, Kauno rajono savivaldybės taryba </w:t>
      </w:r>
      <w:r w:rsidRPr="00040110">
        <w:rPr>
          <w:rFonts w:ascii="Times New Roman" w:eastAsia="Calibri" w:hAnsi="Times New Roman"/>
          <w:spacing w:val="40"/>
          <w:sz w:val="24"/>
          <w:szCs w:val="24"/>
        </w:rPr>
        <w:t>nusprendžia</w:t>
      </w:r>
      <w:r w:rsidRPr="00040110">
        <w:rPr>
          <w:rFonts w:ascii="Times New Roman" w:eastAsia="Calibri" w:hAnsi="Times New Roman"/>
          <w:sz w:val="24"/>
          <w:szCs w:val="24"/>
        </w:rPr>
        <w:t>:</w:t>
      </w:r>
    </w:p>
    <w:p w:rsidR="00040110" w:rsidRPr="00040110" w:rsidRDefault="00040110" w:rsidP="00040110">
      <w:pPr>
        <w:tabs>
          <w:tab w:val="left" w:pos="851"/>
        </w:tabs>
        <w:spacing w:line="360" w:lineRule="auto"/>
        <w:ind w:firstLine="851"/>
        <w:jc w:val="both"/>
        <w:rPr>
          <w:rFonts w:ascii="Times New Roman" w:eastAsia="Calibri" w:hAnsi="Times New Roman"/>
          <w:sz w:val="24"/>
          <w:szCs w:val="24"/>
        </w:rPr>
      </w:pPr>
      <w:r w:rsidRPr="00040110">
        <w:rPr>
          <w:rFonts w:ascii="Times New Roman" w:eastAsia="Calibri" w:hAnsi="Times New Roman"/>
          <w:sz w:val="24"/>
          <w:szCs w:val="24"/>
        </w:rPr>
        <w:t>Pakeisti Kauno rajono savivaldybės Pavadinimų sumanymo ir atminimo įamžinimo komisijos nuostatus, patvirtintus Kauno rajono savivaldybės tarybos 2023 m. birželio 29 d. sprendimu TS-310 „Dėl Kauno rajono savivaldybės Pavadinimų sumanymo ir atminimo įamžinimo komisijos nuostatų patvirtinimo“.</w:t>
      </w:r>
    </w:p>
    <w:p w:rsidR="00040110" w:rsidRPr="00040110" w:rsidRDefault="00040110" w:rsidP="00040110">
      <w:pPr>
        <w:numPr>
          <w:ilvl w:val="0"/>
          <w:numId w:val="88"/>
        </w:numPr>
        <w:tabs>
          <w:tab w:val="left" w:pos="1134"/>
        </w:tabs>
        <w:spacing w:after="200" w:line="360" w:lineRule="auto"/>
        <w:ind w:left="0" w:firstLine="851"/>
        <w:contextualSpacing/>
        <w:jc w:val="both"/>
        <w:rPr>
          <w:rFonts w:ascii="Times New Roman" w:eastAsia="Calibri" w:hAnsi="Times New Roman"/>
          <w:sz w:val="24"/>
          <w:szCs w:val="24"/>
        </w:rPr>
      </w:pPr>
      <w:r w:rsidRPr="00040110">
        <w:rPr>
          <w:rFonts w:ascii="Times New Roman" w:eastAsia="Calibri" w:hAnsi="Times New Roman"/>
          <w:sz w:val="24"/>
          <w:szCs w:val="24"/>
        </w:rPr>
        <w:t xml:space="preserve">Pakeisti 13 punktą ir jį išdėstyti taip: </w:t>
      </w:r>
    </w:p>
    <w:p w:rsidR="00040110" w:rsidRPr="00040110" w:rsidRDefault="00040110" w:rsidP="00040110">
      <w:pPr>
        <w:spacing w:line="360" w:lineRule="auto"/>
        <w:ind w:firstLine="851"/>
        <w:contextualSpacing/>
        <w:jc w:val="both"/>
        <w:rPr>
          <w:rFonts w:ascii="Times New Roman" w:eastAsia="Calibri" w:hAnsi="Times New Roman"/>
          <w:sz w:val="24"/>
          <w:szCs w:val="24"/>
        </w:rPr>
      </w:pPr>
      <w:r w:rsidRPr="00040110">
        <w:rPr>
          <w:rFonts w:ascii="Times New Roman" w:eastAsia="Calibri" w:hAnsi="Times New Roman"/>
          <w:sz w:val="24"/>
          <w:szCs w:val="24"/>
        </w:rPr>
        <w:t xml:space="preserve">„13. Komisijos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w:t>
      </w:r>
      <w:r w:rsidRPr="00040110">
        <w:rPr>
          <w:rFonts w:ascii="Times New Roman" w:eastAsia="Calibri" w:hAnsi="Times New Roman"/>
          <w:color w:val="000000"/>
          <w:sz w:val="24"/>
          <w:szCs w:val="24"/>
        </w:rPr>
        <w:t>Savivaldybės tarybos narius į Komisiją gali siūlyti frakcijos ir Savivaldybės tarybos narių grupės, ekspertus, valstybės tarnautojus ir darbuotojus, dirbančius pagal darbo sutartis – meras ir Administracijos direktorius, seniūnaičius – seniūnaičių sueiga. Įgaliojimai atstovauti viešiesiems juridiniams asmenims priimami šių juridinių asmenų įstatų nustatyta tvarka. Delegavimas, įgaliojimas arba siūlymas atstovauti turi būti pateiktas merui raštu.</w:t>
      </w:r>
      <w:r w:rsidRPr="00040110">
        <w:rPr>
          <w:rFonts w:ascii="Times New Roman" w:eastAsia="Calibri" w:hAnsi="Times New Roman"/>
          <w:sz w:val="24"/>
          <w:szCs w:val="24"/>
        </w:rPr>
        <w:t xml:space="preserve">“ </w:t>
      </w:r>
    </w:p>
    <w:p w:rsidR="00040110" w:rsidRPr="00040110" w:rsidRDefault="00040110" w:rsidP="00040110">
      <w:pPr>
        <w:numPr>
          <w:ilvl w:val="0"/>
          <w:numId w:val="88"/>
        </w:numPr>
        <w:tabs>
          <w:tab w:val="left" w:pos="1134"/>
        </w:tabs>
        <w:spacing w:after="200" w:line="360" w:lineRule="auto"/>
        <w:ind w:left="0" w:firstLine="851"/>
        <w:contextualSpacing/>
        <w:jc w:val="both"/>
        <w:rPr>
          <w:rFonts w:ascii="Times New Roman" w:eastAsia="Calibri" w:hAnsi="Times New Roman"/>
          <w:sz w:val="24"/>
          <w:szCs w:val="24"/>
        </w:rPr>
      </w:pPr>
      <w:r w:rsidRPr="00040110">
        <w:rPr>
          <w:rFonts w:ascii="Times New Roman" w:eastAsia="Calibri" w:hAnsi="Times New Roman"/>
          <w:sz w:val="24"/>
          <w:szCs w:val="24"/>
        </w:rPr>
        <w:t xml:space="preserve">Pakeisti 16.1 papunktį ir jį išdėstyti taip: </w:t>
      </w:r>
    </w:p>
    <w:p w:rsidR="00040110" w:rsidRPr="00040110" w:rsidRDefault="00040110" w:rsidP="00040110">
      <w:pPr>
        <w:autoSpaceDE w:val="0"/>
        <w:spacing w:line="360" w:lineRule="auto"/>
        <w:ind w:firstLine="851"/>
        <w:contextualSpacing/>
        <w:jc w:val="both"/>
        <w:rPr>
          <w:rFonts w:ascii="Times New Roman" w:hAnsi="Times New Roman" w:cs="Calibri"/>
          <w:sz w:val="24"/>
          <w:szCs w:val="24"/>
        </w:rPr>
      </w:pPr>
      <w:r w:rsidRPr="00040110">
        <w:rPr>
          <w:rFonts w:ascii="Times New Roman" w:hAnsi="Times New Roman" w:cs="Calibri"/>
          <w:sz w:val="24"/>
          <w:szCs w:val="24"/>
        </w:rPr>
        <w:t>„16.1. vadovauja Komisijos darbui;“</w:t>
      </w:r>
    </w:p>
    <w:p w:rsidR="00040110" w:rsidRPr="00040110" w:rsidRDefault="00040110" w:rsidP="00040110">
      <w:pPr>
        <w:numPr>
          <w:ilvl w:val="0"/>
          <w:numId w:val="88"/>
        </w:numPr>
        <w:autoSpaceDE w:val="0"/>
        <w:spacing w:after="200" w:line="360" w:lineRule="auto"/>
        <w:ind w:left="0" w:firstLine="851"/>
        <w:contextualSpacing/>
        <w:jc w:val="both"/>
        <w:rPr>
          <w:rFonts w:ascii="Times New Roman" w:hAnsi="Times New Roman" w:cs="Calibri"/>
          <w:sz w:val="24"/>
          <w:szCs w:val="24"/>
        </w:rPr>
      </w:pPr>
      <w:r w:rsidRPr="00040110">
        <w:rPr>
          <w:rFonts w:ascii="Times New Roman" w:hAnsi="Times New Roman" w:cs="Calibri"/>
          <w:sz w:val="24"/>
          <w:szCs w:val="24"/>
        </w:rPr>
        <w:lastRenderedPageBreak/>
        <w:t xml:space="preserve">Pakeisti 17 punktą ir jį išdėstyti taip: </w:t>
      </w:r>
    </w:p>
    <w:p w:rsidR="00040110" w:rsidRPr="00040110" w:rsidRDefault="00040110" w:rsidP="00040110">
      <w:pPr>
        <w:autoSpaceDE w:val="0"/>
        <w:spacing w:line="360" w:lineRule="auto"/>
        <w:ind w:firstLine="851"/>
        <w:contextualSpacing/>
        <w:jc w:val="both"/>
        <w:rPr>
          <w:rFonts w:ascii="Times New Roman" w:eastAsia="Calibri" w:hAnsi="Times New Roman"/>
          <w:sz w:val="24"/>
          <w:szCs w:val="24"/>
        </w:rPr>
      </w:pPr>
      <w:r w:rsidRPr="00040110">
        <w:rPr>
          <w:rFonts w:ascii="Times New Roman" w:hAnsi="Times New Roman"/>
          <w:sz w:val="24"/>
          <w:szCs w:val="24"/>
        </w:rPr>
        <w:t xml:space="preserve">„17. Jeigu Komisijos pirmininkas dėl svarbių priežasčių negali dalyvauti posėdyje, Komisijos pirmininko pavaduotojas pirmininkauja posėdžiui ir atlieka šiuose nuostatuose Komisijos pirmininkui priskirtas funkcijas. </w:t>
      </w:r>
      <w:r w:rsidRPr="00040110">
        <w:rPr>
          <w:rFonts w:ascii="Times New Roman" w:eastAsia="Calibri" w:hAnsi="Times New Roman"/>
          <w:sz w:val="24"/>
          <w:szCs w:val="24"/>
        </w:rPr>
        <w:t>Komisijos pirmininko pavaduotojas skiriamas Komisijos sprendimu iš Komisijos narių.“</w:t>
      </w:r>
    </w:p>
    <w:p w:rsidR="00040110" w:rsidRPr="00040110" w:rsidRDefault="00040110" w:rsidP="00040110">
      <w:pPr>
        <w:numPr>
          <w:ilvl w:val="0"/>
          <w:numId w:val="88"/>
        </w:numPr>
        <w:autoSpaceDE w:val="0"/>
        <w:spacing w:after="200" w:line="360" w:lineRule="auto"/>
        <w:ind w:left="0" w:firstLine="851"/>
        <w:contextualSpacing/>
        <w:jc w:val="both"/>
        <w:rPr>
          <w:rFonts w:ascii="Times New Roman" w:eastAsia="Calibri" w:hAnsi="Times New Roman" w:cs="Calibri"/>
          <w:sz w:val="24"/>
          <w:szCs w:val="24"/>
        </w:rPr>
      </w:pPr>
      <w:r w:rsidRPr="00040110">
        <w:rPr>
          <w:rFonts w:ascii="Times New Roman" w:eastAsia="Calibri" w:hAnsi="Times New Roman" w:cs="Calibri"/>
          <w:sz w:val="24"/>
          <w:szCs w:val="24"/>
        </w:rPr>
        <w:t>Pakeisti 18 punktą ir jį išdėstyti taip:</w:t>
      </w:r>
    </w:p>
    <w:p w:rsidR="00040110" w:rsidRPr="00040110" w:rsidRDefault="00040110" w:rsidP="00040110">
      <w:pPr>
        <w:autoSpaceDE w:val="0"/>
        <w:spacing w:line="360" w:lineRule="auto"/>
        <w:ind w:firstLine="851"/>
        <w:contextualSpacing/>
        <w:jc w:val="both"/>
        <w:rPr>
          <w:rFonts w:ascii="Times New Roman" w:hAnsi="Times New Roman"/>
          <w:sz w:val="24"/>
          <w:szCs w:val="24"/>
        </w:rPr>
      </w:pPr>
      <w:r w:rsidRPr="00040110">
        <w:rPr>
          <w:rFonts w:ascii="Times New Roman" w:hAnsi="Times New Roman"/>
          <w:sz w:val="24"/>
          <w:szCs w:val="24"/>
        </w:rPr>
        <w:t xml:space="preserve">„18. Komisija sprendimus priima posėdžiuose. Komisijos posėdis yra teisėtas, jei jame dalyvauja ne mažiau kaip pusė Komisijos narių. Komisijos sprendimai priimami posėdyje dalyvaujančių Komisijos narių balsų dauguma. </w:t>
      </w:r>
      <w:r w:rsidRPr="00040110">
        <w:rPr>
          <w:rFonts w:ascii="Times New Roman" w:eastAsia="Calibri" w:hAnsi="Times New Roman"/>
          <w:sz w:val="24"/>
          <w:szCs w:val="24"/>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15–30 min trukmės pertrauka, po kurios balsuojama dar kartą. Jeigu balsavus trečią kartą balsai pasiskirsto po lygiai, sprendimą lemia Komisijos pirmininko balsas. Komisijos nariai, nesutinkantys su Komisijos sprendimu, turi teisę raštu pareikšti atskirąją nuomonę, kuri pridedama prie posėdžio protokolo.</w:t>
      </w:r>
      <w:r w:rsidRPr="00040110">
        <w:rPr>
          <w:rFonts w:ascii="Times New Roman" w:hAnsi="Times New Roman" w:cs="Calibri"/>
          <w:sz w:val="24"/>
          <w:szCs w:val="24"/>
        </w:rPr>
        <w:t xml:space="preserve"> </w:t>
      </w:r>
      <w:r w:rsidRPr="00040110">
        <w:rPr>
          <w:rFonts w:ascii="Times New Roman" w:hAnsi="Times New Roman"/>
          <w:sz w:val="24"/>
          <w:szCs w:val="24"/>
        </w:rPr>
        <w:t>Komisijos sprendimai yra patariamojo pobūdžio.“</w:t>
      </w:r>
    </w:p>
    <w:p w:rsidR="00040110" w:rsidRPr="00040110" w:rsidRDefault="00040110" w:rsidP="00040110">
      <w:pPr>
        <w:numPr>
          <w:ilvl w:val="0"/>
          <w:numId w:val="88"/>
        </w:numPr>
        <w:autoSpaceDE w:val="0"/>
        <w:spacing w:after="200" w:line="360" w:lineRule="auto"/>
        <w:ind w:left="0" w:firstLine="851"/>
        <w:contextualSpacing/>
        <w:jc w:val="both"/>
        <w:rPr>
          <w:rFonts w:ascii="Times New Roman" w:eastAsia="Calibri" w:hAnsi="Times New Roman" w:cs="Calibri"/>
          <w:sz w:val="24"/>
          <w:szCs w:val="24"/>
        </w:rPr>
      </w:pPr>
      <w:r w:rsidRPr="00040110">
        <w:rPr>
          <w:rFonts w:ascii="Times New Roman" w:eastAsia="Calibri" w:hAnsi="Times New Roman" w:cs="Calibri"/>
          <w:sz w:val="24"/>
          <w:szCs w:val="24"/>
        </w:rPr>
        <w:t xml:space="preserve">Pakeisti 19 punktą ir jį išdėstyti taip: </w:t>
      </w:r>
    </w:p>
    <w:p w:rsidR="00040110" w:rsidRPr="00040110" w:rsidRDefault="00040110" w:rsidP="00040110">
      <w:pPr>
        <w:autoSpaceDE w:val="0"/>
        <w:spacing w:line="360" w:lineRule="auto"/>
        <w:ind w:firstLine="851"/>
        <w:contextualSpacing/>
        <w:jc w:val="both"/>
        <w:rPr>
          <w:rFonts w:ascii="Times New Roman" w:eastAsia="Calibri" w:hAnsi="Times New Roman"/>
          <w:sz w:val="24"/>
          <w:szCs w:val="24"/>
        </w:rPr>
      </w:pPr>
      <w:r w:rsidRPr="00040110">
        <w:rPr>
          <w:rFonts w:ascii="Times New Roman" w:eastAsia="Calibri" w:hAnsi="Times New Roman"/>
          <w:sz w:val="24"/>
          <w:szCs w:val="24"/>
        </w:rPr>
        <w:t>„19.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Komisijos narius apie tai informuoja Komisijos sekretorius.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rsidR="00040110" w:rsidRPr="00040110" w:rsidRDefault="00040110" w:rsidP="00040110">
      <w:pPr>
        <w:autoSpaceDE w:val="0"/>
        <w:spacing w:line="360" w:lineRule="auto"/>
        <w:ind w:firstLine="851"/>
        <w:contextualSpacing/>
        <w:jc w:val="both"/>
        <w:rPr>
          <w:rFonts w:ascii="Times New Roman" w:eastAsia="Calibri" w:hAnsi="Times New Roman"/>
          <w:sz w:val="24"/>
          <w:szCs w:val="24"/>
        </w:rPr>
      </w:pPr>
      <w:r w:rsidRPr="00040110">
        <w:rPr>
          <w:rFonts w:ascii="Times New Roman" w:eastAsia="Calibri" w:hAnsi="Times New Roman"/>
          <w:sz w:val="24"/>
          <w:szCs w:val="24"/>
        </w:rPr>
        <w:t xml:space="preserve">6. Pakeisti 21 punktą ir jį išdėstyti taip: </w:t>
      </w:r>
    </w:p>
    <w:p w:rsidR="00040110" w:rsidRPr="00040110" w:rsidRDefault="00040110" w:rsidP="00040110">
      <w:pPr>
        <w:autoSpaceDE w:val="0"/>
        <w:spacing w:line="360" w:lineRule="auto"/>
        <w:ind w:firstLine="851"/>
        <w:contextualSpacing/>
        <w:jc w:val="both"/>
        <w:rPr>
          <w:rFonts w:ascii="Times New Roman" w:eastAsia="Calibri" w:hAnsi="Times New Roman"/>
          <w:b/>
          <w:bCs/>
          <w:sz w:val="24"/>
          <w:szCs w:val="24"/>
        </w:rPr>
      </w:pPr>
      <w:r w:rsidRPr="00040110">
        <w:rPr>
          <w:rFonts w:ascii="Times New Roman" w:eastAsia="Calibri" w:hAnsi="Times New Roman"/>
          <w:sz w:val="24"/>
          <w:szCs w:val="24"/>
        </w:rPr>
        <w:t xml:space="preserve">„21. Komisijos posėdis šaukiamas Komisijos pirmininko iniciatyva, taip pat ne mažiau kaip 1/3 Komisijos narių siūlymu. </w:t>
      </w:r>
      <w:bookmarkStart w:id="0" w:name="_Hlk191030836"/>
      <w:bookmarkStart w:id="1" w:name="_Hlk193182138"/>
      <w:r w:rsidRPr="00040110">
        <w:rPr>
          <w:rFonts w:ascii="Times New Roman" w:eastAsia="Calibri" w:hAnsi="Times New Roman" w:cs="Calibri"/>
          <w:bCs/>
          <w:sz w:val="24"/>
          <w:szCs w:val="24"/>
        </w:rPr>
        <w:t>Komisijos sekretorius apie planuojamą Komisijos posėdžio laiką, būdą ir darbotvarkę el. paštu praneša Savivaldybės tarybos posėdžių sekretoriui ne vėliau kaip prieš 1 darbo dieną iki planuojamo posėdžio, kuris nedelsdamas paskelbia pirmiau paminėtą informaciją Savivaldybės interneto svetainėje.</w:t>
      </w:r>
      <w:bookmarkEnd w:id="0"/>
      <w:r w:rsidRPr="00040110">
        <w:rPr>
          <w:rFonts w:ascii="Times New Roman" w:eastAsia="Calibri" w:hAnsi="Times New Roman" w:cs="Calibri"/>
          <w:bCs/>
          <w:sz w:val="24"/>
          <w:szCs w:val="24"/>
        </w:rPr>
        <w:t xml:space="preserve"> Apie pos</w:t>
      </w:r>
      <w:r w:rsidRPr="00040110">
        <w:rPr>
          <w:rFonts w:ascii="Times New Roman" w:eastAsia="Calibri" w:hAnsi="Times New Roman" w:cs="Calibri" w:hint="eastAsia"/>
          <w:bCs/>
          <w:sz w:val="24"/>
          <w:szCs w:val="24"/>
        </w:rPr>
        <w:t>ė</w:t>
      </w:r>
      <w:r w:rsidRPr="00040110">
        <w:rPr>
          <w:rFonts w:ascii="Times New Roman" w:eastAsia="Calibri" w:hAnsi="Times New Roman" w:cs="Calibri"/>
          <w:bCs/>
          <w:sz w:val="24"/>
          <w:szCs w:val="24"/>
        </w:rPr>
        <w:t>džio laiką, būdą ir darbotvarkę</w:t>
      </w:r>
      <w:r w:rsidRPr="00040110">
        <w:rPr>
          <w:rFonts w:ascii="Times New Roman" w:eastAsia="Calibri" w:hAnsi="Times New Roman" w:cs="Calibri"/>
          <w:b/>
          <w:sz w:val="24"/>
          <w:szCs w:val="24"/>
        </w:rPr>
        <w:t xml:space="preserve"> </w:t>
      </w:r>
      <w:r w:rsidRPr="00040110">
        <w:rPr>
          <w:rFonts w:ascii="Times New Roman" w:eastAsia="Calibri" w:hAnsi="Times New Roman" w:cs="Calibri"/>
          <w:bCs/>
          <w:sz w:val="24"/>
          <w:szCs w:val="24"/>
        </w:rPr>
        <w:t>Komisijos nariams turi b</w:t>
      </w:r>
      <w:r w:rsidRPr="00040110">
        <w:rPr>
          <w:rFonts w:ascii="Times New Roman" w:eastAsia="Calibri" w:hAnsi="Times New Roman" w:cs="Calibri" w:hint="eastAsia"/>
          <w:bCs/>
          <w:sz w:val="24"/>
          <w:szCs w:val="24"/>
        </w:rPr>
        <w:t>ū</w:t>
      </w:r>
      <w:r w:rsidRPr="00040110">
        <w:rPr>
          <w:rFonts w:ascii="Times New Roman" w:eastAsia="Calibri" w:hAnsi="Times New Roman" w:cs="Calibri"/>
          <w:bCs/>
          <w:sz w:val="24"/>
          <w:szCs w:val="24"/>
        </w:rPr>
        <w:t>ti pranešta ir jiems sudaryta galimyb</w:t>
      </w:r>
      <w:r w:rsidRPr="00040110">
        <w:rPr>
          <w:rFonts w:ascii="Times New Roman" w:eastAsia="Calibri" w:hAnsi="Times New Roman" w:cs="Calibri" w:hint="eastAsia"/>
          <w:bCs/>
          <w:sz w:val="24"/>
          <w:szCs w:val="24"/>
        </w:rPr>
        <w:t>ė</w:t>
      </w:r>
      <w:r w:rsidRPr="00040110">
        <w:rPr>
          <w:rFonts w:ascii="Times New Roman" w:eastAsia="Calibri" w:hAnsi="Times New Roman" w:cs="Calibri"/>
          <w:bCs/>
          <w:sz w:val="24"/>
          <w:szCs w:val="24"/>
        </w:rPr>
        <w:t xml:space="preserve"> susipažinti su </w:t>
      </w:r>
      <w:r w:rsidRPr="00040110">
        <w:rPr>
          <w:rFonts w:ascii="Times New Roman" w:eastAsia="Calibri" w:hAnsi="Times New Roman" w:cs="Calibri"/>
          <w:bCs/>
          <w:sz w:val="24"/>
          <w:szCs w:val="24"/>
        </w:rPr>
        <w:lastRenderedPageBreak/>
        <w:t>pos</w:t>
      </w:r>
      <w:r w:rsidRPr="00040110">
        <w:rPr>
          <w:rFonts w:ascii="Times New Roman" w:eastAsia="Calibri" w:hAnsi="Times New Roman" w:cs="Calibri" w:hint="eastAsia"/>
          <w:bCs/>
          <w:sz w:val="24"/>
          <w:szCs w:val="24"/>
        </w:rPr>
        <w:t>ė</w:t>
      </w:r>
      <w:r w:rsidRPr="00040110">
        <w:rPr>
          <w:rFonts w:ascii="Times New Roman" w:eastAsia="Calibri" w:hAnsi="Times New Roman" w:cs="Calibri"/>
          <w:bCs/>
          <w:sz w:val="24"/>
          <w:szCs w:val="24"/>
        </w:rPr>
        <w:t>džio medžiaga ne v</w:t>
      </w:r>
      <w:r w:rsidRPr="00040110">
        <w:rPr>
          <w:rFonts w:ascii="Times New Roman" w:eastAsia="Calibri" w:hAnsi="Times New Roman" w:cs="Calibri" w:hint="eastAsia"/>
          <w:bCs/>
          <w:sz w:val="24"/>
          <w:szCs w:val="24"/>
        </w:rPr>
        <w:t>ė</w:t>
      </w:r>
      <w:r w:rsidRPr="00040110">
        <w:rPr>
          <w:rFonts w:ascii="Times New Roman" w:eastAsia="Calibri" w:hAnsi="Times New Roman" w:cs="Calibri"/>
          <w:bCs/>
          <w:sz w:val="24"/>
          <w:szCs w:val="24"/>
        </w:rPr>
        <w:t>liau kaip prieš 1 darbo dien</w:t>
      </w:r>
      <w:r w:rsidRPr="00040110">
        <w:rPr>
          <w:rFonts w:ascii="Times New Roman" w:eastAsia="Calibri" w:hAnsi="Times New Roman" w:cs="Calibri" w:hint="eastAsia"/>
          <w:bCs/>
          <w:sz w:val="24"/>
          <w:szCs w:val="24"/>
        </w:rPr>
        <w:t>ą</w:t>
      </w:r>
      <w:r w:rsidRPr="00040110">
        <w:rPr>
          <w:rFonts w:ascii="Times New Roman" w:eastAsia="Calibri" w:hAnsi="Times New Roman" w:cs="Calibri"/>
          <w:bCs/>
          <w:sz w:val="24"/>
          <w:szCs w:val="24"/>
        </w:rPr>
        <w:t>, už šios informacijos pateikimą atsakingas Komisijos sekretorius</w:t>
      </w:r>
      <w:r w:rsidRPr="00040110">
        <w:rPr>
          <w:rFonts w:ascii="Times New Roman" w:eastAsia="Calibri" w:hAnsi="Times New Roman" w:cs="Calibri"/>
          <w:sz w:val="24"/>
          <w:szCs w:val="24"/>
        </w:rPr>
        <w:t>.“</w:t>
      </w:r>
      <w:bookmarkEnd w:id="1"/>
    </w:p>
    <w:p w:rsidR="00040110" w:rsidRPr="00040110" w:rsidRDefault="00040110" w:rsidP="00040110">
      <w:pPr>
        <w:autoSpaceDE w:val="0"/>
        <w:spacing w:line="360" w:lineRule="auto"/>
        <w:ind w:firstLine="851"/>
        <w:contextualSpacing/>
        <w:jc w:val="both"/>
        <w:rPr>
          <w:rFonts w:ascii="Times New Roman" w:eastAsia="Calibri" w:hAnsi="Times New Roman"/>
          <w:sz w:val="24"/>
          <w:szCs w:val="24"/>
        </w:rPr>
      </w:pPr>
      <w:r w:rsidRPr="00040110">
        <w:rPr>
          <w:rFonts w:ascii="Times New Roman" w:eastAsia="Calibri" w:hAnsi="Times New Roman"/>
          <w:sz w:val="24"/>
          <w:szCs w:val="24"/>
        </w:rPr>
        <w:t xml:space="preserve">7. Pakeisti 24 punktą ir jį išdėstyti taip: </w:t>
      </w:r>
    </w:p>
    <w:p w:rsidR="00040110" w:rsidRPr="00040110" w:rsidRDefault="00040110" w:rsidP="00040110">
      <w:pPr>
        <w:autoSpaceDE w:val="0"/>
        <w:spacing w:line="360" w:lineRule="auto"/>
        <w:ind w:firstLine="851"/>
        <w:jc w:val="both"/>
        <w:rPr>
          <w:rFonts w:ascii="Times New Roman" w:eastAsia="Calibri" w:hAnsi="Times New Roman"/>
          <w:sz w:val="24"/>
          <w:szCs w:val="24"/>
        </w:rPr>
      </w:pPr>
      <w:r w:rsidRPr="00040110">
        <w:rPr>
          <w:rFonts w:ascii="Times New Roman" w:eastAsia="Calibri" w:hAnsi="Times New Roman"/>
          <w:sz w:val="24"/>
          <w:szCs w:val="24"/>
        </w:rPr>
        <w:t xml:space="preserve">„24. Komisijos posėdžiai yra protokoluojami. Posėdžio protokolas pasirašomas per </w:t>
      </w:r>
      <w:r w:rsidRPr="00040110">
        <w:rPr>
          <w:rFonts w:ascii="Times New Roman" w:eastAsia="Calibri" w:hAnsi="Times New Roman"/>
          <w:sz w:val="24"/>
          <w:szCs w:val="24"/>
        </w:rPr>
        <w:br/>
        <w:t>3 darbo dienas po posėdžio. Jį pasirašo posėdžio pirmininkas ir protokolą rašęs asmuo.“</w:t>
      </w:r>
    </w:p>
    <w:p w:rsidR="00040110" w:rsidRPr="00040110" w:rsidRDefault="00040110" w:rsidP="00040110">
      <w:pPr>
        <w:autoSpaceDE w:val="0"/>
        <w:spacing w:line="360" w:lineRule="auto"/>
        <w:ind w:firstLine="851"/>
        <w:jc w:val="both"/>
        <w:rPr>
          <w:rFonts w:ascii="Times New Roman" w:eastAsia="Calibri" w:hAnsi="Times New Roman"/>
          <w:sz w:val="24"/>
          <w:szCs w:val="24"/>
        </w:rPr>
      </w:pPr>
      <w:r w:rsidRPr="00040110">
        <w:rPr>
          <w:rFonts w:ascii="Times New Roman" w:eastAsia="Calibri" w:hAnsi="Times New Roman"/>
          <w:sz w:val="24"/>
          <w:szCs w:val="24"/>
        </w:rPr>
        <w:t xml:space="preserve">8. Pakeisti 25 punktą ir jį išdėstyti taip: </w:t>
      </w:r>
    </w:p>
    <w:p w:rsidR="00040110" w:rsidRPr="00040110" w:rsidRDefault="00040110" w:rsidP="00040110">
      <w:pPr>
        <w:autoSpaceDE w:val="0"/>
        <w:spacing w:line="360" w:lineRule="auto"/>
        <w:ind w:firstLine="851"/>
        <w:jc w:val="both"/>
        <w:rPr>
          <w:rFonts w:ascii="Times New Roman" w:hAnsi="Times New Roman"/>
          <w:sz w:val="24"/>
          <w:szCs w:val="24"/>
        </w:rPr>
      </w:pPr>
      <w:r w:rsidRPr="00040110">
        <w:rPr>
          <w:rFonts w:ascii="Times New Roman" w:eastAsia="Calibri" w:hAnsi="Times New Roman"/>
          <w:sz w:val="24"/>
          <w:szCs w:val="24"/>
        </w:rPr>
        <w:t xml:space="preserve">„25. Komisijos sekretoriaus pareigas atlieka Savivaldybės mero paskirtas valstybės tarnautojas arba darbuotojas, dirbantis pagal darbo sutartį, o kai jo nėra, – posėdyje dalyvaujančių Komisijos narių išrinktas Komisijos narys. </w:t>
      </w:r>
      <w:r w:rsidRPr="00040110">
        <w:rPr>
          <w:rFonts w:ascii="Times New Roman" w:hAnsi="Times New Roman"/>
          <w:sz w:val="24"/>
          <w:szCs w:val="24"/>
        </w:rPr>
        <w:t>Komisijos sekretorius:</w:t>
      </w:r>
    </w:p>
    <w:p w:rsidR="00040110" w:rsidRPr="00040110" w:rsidRDefault="00040110" w:rsidP="00040110">
      <w:pPr>
        <w:autoSpaceDE w:val="0"/>
        <w:spacing w:line="360" w:lineRule="auto"/>
        <w:ind w:firstLine="851"/>
        <w:jc w:val="both"/>
        <w:rPr>
          <w:rFonts w:ascii="Times New Roman" w:hAnsi="Times New Roman"/>
          <w:sz w:val="24"/>
          <w:szCs w:val="24"/>
        </w:rPr>
      </w:pPr>
      <w:r w:rsidRPr="00040110">
        <w:rPr>
          <w:rFonts w:ascii="Times New Roman" w:hAnsi="Times New Roman"/>
          <w:sz w:val="24"/>
          <w:szCs w:val="24"/>
        </w:rPr>
        <w:t>25.1. Komisijos pirmininko pavedimu kviečia į posėdžius Komisijos narius ir kitus asmenis, informuoja juos apie posėdžio laiką, būdą ir darbotvarkę, šių nuostatų nustatyta tvarka pateikia šią informaciją Savivaldybės tarybos posėdžių sekretoriui;</w:t>
      </w:r>
    </w:p>
    <w:p w:rsidR="00040110" w:rsidRPr="00040110" w:rsidRDefault="00040110" w:rsidP="00040110">
      <w:pPr>
        <w:autoSpaceDE w:val="0"/>
        <w:spacing w:line="360" w:lineRule="auto"/>
        <w:ind w:firstLine="851"/>
        <w:jc w:val="both"/>
        <w:rPr>
          <w:rFonts w:ascii="Times New Roman" w:hAnsi="Times New Roman"/>
          <w:sz w:val="24"/>
          <w:szCs w:val="24"/>
        </w:rPr>
      </w:pPr>
      <w:r w:rsidRPr="00040110">
        <w:rPr>
          <w:rFonts w:ascii="Times New Roman" w:hAnsi="Times New Roman"/>
          <w:sz w:val="24"/>
          <w:szCs w:val="24"/>
        </w:rPr>
        <w:t>25.2. protokoluoja Komisijos posėdžius;</w:t>
      </w:r>
    </w:p>
    <w:p w:rsidR="00040110" w:rsidRPr="00040110" w:rsidRDefault="00040110" w:rsidP="00040110">
      <w:pPr>
        <w:autoSpaceDE w:val="0"/>
        <w:spacing w:line="360" w:lineRule="auto"/>
        <w:ind w:firstLine="851"/>
        <w:jc w:val="both"/>
        <w:rPr>
          <w:rFonts w:ascii="Times New Roman" w:hAnsi="Times New Roman"/>
          <w:sz w:val="24"/>
          <w:szCs w:val="24"/>
        </w:rPr>
      </w:pPr>
      <w:r w:rsidRPr="00040110">
        <w:rPr>
          <w:rFonts w:ascii="Times New Roman" w:hAnsi="Times New Roman"/>
          <w:sz w:val="24"/>
          <w:szCs w:val="24"/>
        </w:rPr>
        <w:t>25.3. Komisijos pirmininko pavedimu rengia Komisijos siunčiamus dokumentus</w:t>
      </w:r>
      <w:r w:rsidRPr="00040110">
        <w:rPr>
          <w:rFonts w:ascii="Times New Roman" w:hAnsi="Times New Roman" w:cs="Calibri"/>
          <w:sz w:val="24"/>
          <w:szCs w:val="24"/>
        </w:rPr>
        <w:t>;</w:t>
      </w:r>
    </w:p>
    <w:p w:rsidR="00040110" w:rsidRPr="00040110" w:rsidRDefault="00040110" w:rsidP="00040110">
      <w:pPr>
        <w:autoSpaceDE w:val="0"/>
        <w:spacing w:line="360" w:lineRule="auto"/>
        <w:ind w:firstLine="851"/>
        <w:jc w:val="both"/>
        <w:rPr>
          <w:rFonts w:ascii="Times New Roman" w:hAnsi="Times New Roman"/>
          <w:sz w:val="24"/>
          <w:szCs w:val="24"/>
        </w:rPr>
      </w:pPr>
      <w:r w:rsidRPr="00040110">
        <w:rPr>
          <w:rFonts w:ascii="Times New Roman" w:hAnsi="Times New Roman"/>
          <w:sz w:val="24"/>
          <w:szCs w:val="24"/>
        </w:rPr>
        <w:t>25.4</w:t>
      </w:r>
      <w:r w:rsidRPr="00040110">
        <w:rPr>
          <w:rFonts w:ascii="Times New Roman" w:hAnsi="Times New Roman" w:cs="Calibri"/>
          <w:sz w:val="24"/>
          <w:szCs w:val="24"/>
        </w:rPr>
        <w:t>.</w:t>
      </w:r>
      <w:r w:rsidRPr="00040110">
        <w:rPr>
          <w:rFonts w:ascii="Times New Roman" w:hAnsi="Times New Roman"/>
          <w:sz w:val="24"/>
          <w:szCs w:val="24"/>
        </w:rPr>
        <w:t xml:space="preserve"> rengia posėdžių medžiagą, tvarko, saugo ir parengia perduoti į archyvą Komisijos dokumentus;</w:t>
      </w:r>
    </w:p>
    <w:p w:rsidR="00040110" w:rsidRPr="00040110" w:rsidRDefault="00040110" w:rsidP="00040110">
      <w:pPr>
        <w:autoSpaceDE w:val="0"/>
        <w:spacing w:line="360" w:lineRule="auto"/>
        <w:ind w:firstLine="851"/>
        <w:jc w:val="both"/>
        <w:rPr>
          <w:rFonts w:ascii="Times New Roman" w:eastAsia="Calibri" w:hAnsi="Times New Roman"/>
          <w:sz w:val="24"/>
          <w:szCs w:val="24"/>
        </w:rPr>
      </w:pPr>
      <w:r w:rsidRPr="00040110">
        <w:rPr>
          <w:rFonts w:ascii="Times New Roman" w:eastAsia="Calibri" w:hAnsi="Times New Roman"/>
          <w:sz w:val="24"/>
          <w:szCs w:val="24"/>
        </w:rPr>
        <w:t>25.5.</w:t>
      </w:r>
      <w:r w:rsidRPr="00040110">
        <w:rPr>
          <w:rFonts w:ascii="Times New Roman" w:eastAsia="Calibri" w:hAnsi="Times New Roman" w:cs="Calibri"/>
          <w:sz w:val="24"/>
          <w:szCs w:val="24"/>
        </w:rPr>
        <w:t xml:space="preserve"> </w:t>
      </w:r>
      <w:r w:rsidRPr="00040110">
        <w:rPr>
          <w:rFonts w:ascii="Times New Roman" w:eastAsia="Calibri" w:hAnsi="Times New Roman"/>
          <w:sz w:val="24"/>
          <w:szCs w:val="24"/>
        </w:rPr>
        <w:t>Komisijos sekretorius kiekvienais metais Savivaldybės tarybos posėdžių sekretoriui pateikia Komisijos veiklos ataskaitą už praėjusius metus. Komisijos pirmininko ir sekretoriaus pasirašyta ataskaita pateikiama iki vasario 10 d. Ataskaitos ne vėliau kaip iki kovo 1 d. skelbiamos Savivaldybės interneto svetainėje;</w:t>
      </w:r>
    </w:p>
    <w:p w:rsidR="00040110" w:rsidRPr="00040110" w:rsidRDefault="00040110" w:rsidP="00040110">
      <w:pPr>
        <w:autoSpaceDE w:val="0"/>
        <w:spacing w:line="360" w:lineRule="auto"/>
        <w:ind w:firstLine="851"/>
        <w:jc w:val="both"/>
        <w:rPr>
          <w:rFonts w:ascii="Times New Roman" w:eastAsia="Calibri" w:hAnsi="Times New Roman"/>
          <w:sz w:val="24"/>
          <w:szCs w:val="24"/>
        </w:rPr>
      </w:pPr>
      <w:r w:rsidRPr="00040110">
        <w:rPr>
          <w:rFonts w:ascii="Times New Roman" w:eastAsia="Calibri" w:hAnsi="Times New Roman"/>
          <w:sz w:val="24"/>
          <w:szCs w:val="24"/>
        </w:rPr>
        <w:t>25.6. vykdo kitus Komisijos pirmininko pavedimus, susijusius su Komisijos veikla.“</w:t>
      </w:r>
    </w:p>
    <w:p w:rsidR="00040110" w:rsidRPr="00040110" w:rsidRDefault="00040110" w:rsidP="00040110">
      <w:pPr>
        <w:autoSpaceDE w:val="0"/>
        <w:spacing w:line="360" w:lineRule="auto"/>
        <w:ind w:firstLine="851"/>
        <w:jc w:val="both"/>
        <w:rPr>
          <w:rFonts w:ascii="Times New Roman" w:eastAsia="Calibri" w:hAnsi="Times New Roman"/>
          <w:sz w:val="24"/>
          <w:szCs w:val="24"/>
        </w:rPr>
      </w:pPr>
      <w:r w:rsidRPr="00040110">
        <w:rPr>
          <w:rFonts w:ascii="Times New Roman" w:eastAsia="Calibri" w:hAnsi="Times New Roman"/>
          <w:sz w:val="24"/>
          <w:szCs w:val="24"/>
        </w:rPr>
        <w:t>9. Pripažinti netekusiu galios 26 punktą.</w:t>
      </w:r>
    </w:p>
    <w:p w:rsidR="00040110" w:rsidRPr="00040110" w:rsidRDefault="00040110" w:rsidP="00040110">
      <w:pPr>
        <w:autoSpaceDE w:val="0"/>
        <w:spacing w:line="360" w:lineRule="auto"/>
        <w:rPr>
          <w:rFonts w:ascii="Times New Roman" w:hAnsi="Times New Roman" w:cs="Calibri"/>
          <w:sz w:val="24"/>
          <w:szCs w:val="24"/>
        </w:rPr>
      </w:pPr>
    </w:p>
    <w:p w:rsidR="00040110" w:rsidRPr="00040110" w:rsidRDefault="00040110" w:rsidP="00040110">
      <w:pPr>
        <w:autoSpaceDE w:val="0"/>
        <w:spacing w:line="360" w:lineRule="auto"/>
        <w:rPr>
          <w:rFonts w:ascii="Times New Roman" w:hAnsi="Times New Roman" w:cs="Calibri"/>
          <w:sz w:val="24"/>
          <w:szCs w:val="24"/>
        </w:rPr>
      </w:pPr>
    </w:p>
    <w:p w:rsidR="00040110" w:rsidRPr="00040110" w:rsidRDefault="00040110" w:rsidP="00062570">
      <w:pPr>
        <w:tabs>
          <w:tab w:val="left" w:pos="7230"/>
        </w:tabs>
        <w:autoSpaceDE w:val="0"/>
        <w:spacing w:line="360" w:lineRule="auto"/>
        <w:rPr>
          <w:rFonts w:ascii="Times New Roman" w:hAnsi="Times New Roman" w:cs="Calibri"/>
          <w:sz w:val="24"/>
          <w:szCs w:val="24"/>
        </w:rPr>
      </w:pPr>
      <w:r w:rsidRPr="00040110">
        <w:rPr>
          <w:rFonts w:ascii="Times New Roman" w:hAnsi="Times New Roman" w:cs="Calibri"/>
          <w:sz w:val="24"/>
          <w:szCs w:val="24"/>
        </w:rPr>
        <w:t>Savivaldybės meras</w:t>
      </w:r>
      <w:r w:rsidR="00062570">
        <w:rPr>
          <w:rFonts w:ascii="Times New Roman" w:hAnsi="Times New Roman" w:cs="Calibri"/>
          <w:sz w:val="24"/>
          <w:szCs w:val="24"/>
        </w:rPr>
        <w:tab/>
        <w:t>Valerijus Makūnas</w:t>
      </w:r>
    </w:p>
    <w:p w:rsidR="00040110" w:rsidRDefault="00040110" w:rsidP="00BF7B32">
      <w:pPr>
        <w:spacing w:line="360" w:lineRule="auto"/>
        <w:jc w:val="center"/>
        <w:rPr>
          <w:rFonts w:ascii="Times New Roman" w:hAnsi="Times New Roman"/>
          <w:sz w:val="24"/>
          <w:szCs w:val="24"/>
        </w:rPr>
      </w:pPr>
    </w:p>
    <w:sectPr w:rsidR="00040110" w:rsidSect="003C706D">
      <w:headerReference w:type="default" r:id="rId8"/>
      <w:headerReference w:type="first" r:id="rId9"/>
      <w:pgSz w:w="11906" w:h="16838"/>
      <w:pgMar w:top="1276" w:right="1133" w:bottom="993"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000" w:rsidRDefault="00C65000" w:rsidP="006C208E">
      <w:r>
        <w:separator/>
      </w:r>
    </w:p>
  </w:endnote>
  <w:endnote w:type="continuationSeparator" w:id="0">
    <w:p w:rsidR="00C65000" w:rsidRDefault="00C65000"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000" w:rsidRDefault="00C65000" w:rsidP="006C208E">
      <w:r>
        <w:separator/>
      </w:r>
    </w:p>
  </w:footnote>
  <w:footnote w:type="continuationSeparator" w:id="0">
    <w:p w:rsidR="00C65000" w:rsidRDefault="00C65000"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3931"/>
      <w:docPartObj>
        <w:docPartGallery w:val="Page Numbers (Top of Page)"/>
        <w:docPartUnique/>
      </w:docPartObj>
    </w:sdtPr>
    <w:sdtEndPr>
      <w:rPr>
        <w:rFonts w:ascii="Times New Roman" w:hAnsi="Times New Roman" w:cs="Times New Roman"/>
        <w:sz w:val="24"/>
        <w:szCs w:val="24"/>
      </w:rPr>
    </w:sdtEndPr>
    <w:sdtContent>
      <w:p w:rsidR="003C706D" w:rsidRPr="003C706D" w:rsidRDefault="003C706D">
        <w:pPr>
          <w:pStyle w:val="Antrats"/>
          <w:jc w:val="center"/>
          <w:rPr>
            <w:rFonts w:ascii="Times New Roman" w:hAnsi="Times New Roman" w:cs="Times New Roman"/>
            <w:sz w:val="24"/>
            <w:szCs w:val="24"/>
          </w:rPr>
        </w:pPr>
        <w:r w:rsidRPr="003C706D">
          <w:rPr>
            <w:rFonts w:ascii="Times New Roman" w:hAnsi="Times New Roman" w:cs="Times New Roman"/>
            <w:sz w:val="24"/>
            <w:szCs w:val="24"/>
          </w:rPr>
          <w:fldChar w:fldCharType="begin"/>
        </w:r>
        <w:r w:rsidRPr="003C706D">
          <w:rPr>
            <w:rFonts w:ascii="Times New Roman" w:hAnsi="Times New Roman" w:cs="Times New Roman"/>
            <w:sz w:val="24"/>
            <w:szCs w:val="24"/>
          </w:rPr>
          <w:instrText>PAGE   \* MERGEFORMAT</w:instrText>
        </w:r>
        <w:r w:rsidRPr="003C706D">
          <w:rPr>
            <w:rFonts w:ascii="Times New Roman" w:hAnsi="Times New Roman" w:cs="Times New Roman"/>
            <w:sz w:val="24"/>
            <w:szCs w:val="24"/>
          </w:rPr>
          <w:fldChar w:fldCharType="separate"/>
        </w:r>
        <w:r w:rsidRPr="003C706D">
          <w:rPr>
            <w:rFonts w:ascii="Times New Roman" w:hAnsi="Times New Roman" w:cs="Times New Roman"/>
            <w:sz w:val="24"/>
            <w:szCs w:val="24"/>
          </w:rPr>
          <w:t>2</w:t>
        </w:r>
        <w:r w:rsidRPr="003C706D">
          <w:rPr>
            <w:rFonts w:ascii="Times New Roman" w:hAnsi="Times New Roman" w:cs="Times New Roman"/>
            <w:sz w:val="24"/>
            <w:szCs w:val="24"/>
          </w:rPr>
          <w:fldChar w:fldCharType="end"/>
        </w:r>
      </w:p>
    </w:sdtContent>
  </w:sdt>
  <w:p w:rsidR="003C706D" w:rsidRDefault="003C7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1135542722" name="Paveikslėlis 113554272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2FD5405"/>
    <w:multiLevelType w:val="hybridMultilevel"/>
    <w:tmpl w:val="FFFFFFFF"/>
    <w:lvl w:ilvl="0" w:tplc="7F148092">
      <w:start w:val="1"/>
      <w:numFmt w:val="decimal"/>
      <w:lvlText w:val="%1."/>
      <w:lvlJc w:val="left"/>
      <w:pPr>
        <w:ind w:left="360" w:hanging="360"/>
      </w:pPr>
      <w:rPr>
        <w:rFonts w:cs="Times New Roman" w:hint="default"/>
        <w:b w:val="0"/>
        <w:bCs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051B7B6D"/>
    <w:multiLevelType w:val="multilevel"/>
    <w:tmpl w:val="764E23D6"/>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b w:val="0"/>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hint="default"/>
        <w:b w:val="0"/>
      </w:rPr>
    </w:lvl>
    <w:lvl w:ilvl="4">
      <w:start w:val="1"/>
      <w:numFmt w:val="decimal"/>
      <w:isLgl/>
      <w:lvlText w:val="%1.%2.%3.%4.%5."/>
      <w:lvlJc w:val="left"/>
      <w:pPr>
        <w:ind w:left="2291" w:hanging="1080"/>
      </w:pPr>
      <w:rPr>
        <w:rFonts w:hint="default"/>
        <w:b w:val="0"/>
      </w:rPr>
    </w:lvl>
    <w:lvl w:ilvl="5">
      <w:start w:val="1"/>
      <w:numFmt w:val="decimal"/>
      <w:isLgl/>
      <w:lvlText w:val="%1.%2.%3.%4.%5.%6."/>
      <w:lvlJc w:val="left"/>
      <w:pPr>
        <w:ind w:left="2291" w:hanging="1080"/>
      </w:pPr>
      <w:rPr>
        <w:rFonts w:hint="default"/>
        <w:b w:val="0"/>
      </w:rPr>
    </w:lvl>
    <w:lvl w:ilvl="6">
      <w:start w:val="1"/>
      <w:numFmt w:val="decimal"/>
      <w:isLgl/>
      <w:lvlText w:val="%1.%2.%3.%4.%5.%6.%7."/>
      <w:lvlJc w:val="left"/>
      <w:pPr>
        <w:ind w:left="2651" w:hanging="1440"/>
      </w:pPr>
      <w:rPr>
        <w:rFonts w:hint="default"/>
        <w:b w:val="0"/>
      </w:rPr>
    </w:lvl>
    <w:lvl w:ilvl="7">
      <w:start w:val="1"/>
      <w:numFmt w:val="decimal"/>
      <w:isLgl/>
      <w:lvlText w:val="%1.%2.%3.%4.%5.%6.%7.%8."/>
      <w:lvlJc w:val="left"/>
      <w:pPr>
        <w:ind w:left="2651" w:hanging="1440"/>
      </w:pPr>
      <w:rPr>
        <w:rFonts w:hint="default"/>
        <w:b w:val="0"/>
      </w:rPr>
    </w:lvl>
    <w:lvl w:ilvl="8">
      <w:start w:val="1"/>
      <w:numFmt w:val="decimal"/>
      <w:isLgl/>
      <w:lvlText w:val="%1.%2.%3.%4.%5.%6.%7.%8.%9."/>
      <w:lvlJc w:val="left"/>
      <w:pPr>
        <w:ind w:left="3011" w:hanging="1800"/>
      </w:pPr>
      <w:rPr>
        <w:rFonts w:hint="default"/>
        <w:b w:val="0"/>
      </w:rPr>
    </w:lvl>
  </w:abstractNum>
  <w:abstractNum w:abstractNumId="4"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9"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2"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9"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9"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5"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7590144"/>
    <w:multiLevelType w:val="hybridMultilevel"/>
    <w:tmpl w:val="F30E264A"/>
    <w:lvl w:ilvl="0" w:tplc="5BD2DDAE">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9"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3EAE4CB6"/>
    <w:multiLevelType w:val="hybridMultilevel"/>
    <w:tmpl w:val="7EDE9AC0"/>
    <w:lvl w:ilvl="0" w:tplc="768A276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7"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8"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2"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3"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6"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FFA45BB"/>
    <w:multiLevelType w:val="hybridMultilevel"/>
    <w:tmpl w:val="24AA1376"/>
    <w:lvl w:ilvl="0" w:tplc="F13640AA">
      <w:start w:val="6"/>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0"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1"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4"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6"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2"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5"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6"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7"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2"/>
  </w:num>
  <w:num w:numId="2" w16cid:durableId="290745122">
    <w:abstractNumId w:val="58"/>
  </w:num>
  <w:num w:numId="3" w16cid:durableId="1224680073">
    <w:abstractNumId w:val="74"/>
  </w:num>
  <w:num w:numId="4" w16cid:durableId="976375760">
    <w:abstractNumId w:val="83"/>
  </w:num>
  <w:num w:numId="5" w16cid:durableId="1892233344">
    <w:abstractNumId w:val="65"/>
  </w:num>
  <w:num w:numId="6" w16cid:durableId="437528417">
    <w:abstractNumId w:val="18"/>
  </w:num>
  <w:num w:numId="7" w16cid:durableId="1567453486">
    <w:abstractNumId w:val="73"/>
  </w:num>
  <w:num w:numId="8" w16cid:durableId="614794725">
    <w:abstractNumId w:val="19"/>
  </w:num>
  <w:num w:numId="9" w16cid:durableId="1957252286">
    <w:abstractNumId w:val="82"/>
  </w:num>
  <w:num w:numId="10" w16cid:durableId="1130830728">
    <w:abstractNumId w:val="63"/>
  </w:num>
  <w:num w:numId="11" w16cid:durableId="1384717337">
    <w:abstractNumId w:val="52"/>
  </w:num>
  <w:num w:numId="12" w16cid:durableId="58984685">
    <w:abstractNumId w:val="30"/>
  </w:num>
  <w:num w:numId="13" w16cid:durableId="1148398605">
    <w:abstractNumId w:val="7"/>
  </w:num>
  <w:num w:numId="14" w16cid:durableId="1389955936">
    <w:abstractNumId w:val="1"/>
  </w:num>
  <w:num w:numId="15" w16cid:durableId="118964181">
    <w:abstractNumId w:val="85"/>
  </w:num>
  <w:num w:numId="16" w16cid:durableId="1199008935">
    <w:abstractNumId w:val="56"/>
  </w:num>
  <w:num w:numId="17" w16cid:durableId="385836542">
    <w:abstractNumId w:val="72"/>
  </w:num>
  <w:num w:numId="18" w16cid:durableId="3480928">
    <w:abstractNumId w:val="55"/>
  </w:num>
  <w:num w:numId="19" w16cid:durableId="1608199286">
    <w:abstractNumId w:val="33"/>
  </w:num>
  <w:num w:numId="20" w16cid:durableId="8258304">
    <w:abstractNumId w:val="81"/>
  </w:num>
  <w:num w:numId="21" w16cid:durableId="1997419339">
    <w:abstractNumId w:val="29"/>
  </w:num>
  <w:num w:numId="22" w16cid:durableId="851721089">
    <w:abstractNumId w:val="16"/>
  </w:num>
  <w:num w:numId="23" w16cid:durableId="535124550">
    <w:abstractNumId w:val="6"/>
  </w:num>
  <w:num w:numId="24" w16cid:durableId="1997224420">
    <w:abstractNumId w:val="71"/>
  </w:num>
  <w:num w:numId="25" w16cid:durableId="795567547">
    <w:abstractNumId w:val="34"/>
  </w:num>
  <w:num w:numId="26" w16cid:durableId="1442798306">
    <w:abstractNumId w:val="4"/>
  </w:num>
  <w:num w:numId="27" w16cid:durableId="396245367">
    <w:abstractNumId w:val="86"/>
  </w:num>
  <w:num w:numId="28" w16cid:durableId="1362971886">
    <w:abstractNumId w:val="20"/>
  </w:num>
  <w:num w:numId="29" w16cid:durableId="978877163">
    <w:abstractNumId w:val="62"/>
  </w:num>
  <w:num w:numId="30" w16cid:durableId="179927861">
    <w:abstractNumId w:val="50"/>
  </w:num>
  <w:num w:numId="31" w16cid:durableId="2132048593">
    <w:abstractNumId w:val="39"/>
  </w:num>
  <w:num w:numId="32" w16cid:durableId="731855634">
    <w:abstractNumId w:val="42"/>
  </w:num>
  <w:num w:numId="33" w16cid:durableId="1835341387">
    <w:abstractNumId w:val="44"/>
  </w:num>
  <w:num w:numId="34" w16cid:durableId="1179277880">
    <w:abstractNumId w:val="45"/>
  </w:num>
  <w:num w:numId="35" w16cid:durableId="1545218894">
    <w:abstractNumId w:val="25"/>
  </w:num>
  <w:num w:numId="36" w16cid:durableId="17004205">
    <w:abstractNumId w:val="68"/>
  </w:num>
  <w:num w:numId="37" w16cid:durableId="1512061000">
    <w:abstractNumId w:val="0"/>
  </w:num>
  <w:num w:numId="38" w16cid:durableId="1368482767">
    <w:abstractNumId w:val="35"/>
  </w:num>
  <w:num w:numId="39" w16cid:durableId="1812938295">
    <w:abstractNumId w:val="15"/>
  </w:num>
  <w:num w:numId="40" w16cid:durableId="1910965002">
    <w:abstractNumId w:val="76"/>
  </w:num>
  <w:num w:numId="41" w16cid:durableId="977613010">
    <w:abstractNumId w:val="54"/>
  </w:num>
  <w:num w:numId="42" w16cid:durableId="1254433458">
    <w:abstractNumId w:val="59"/>
  </w:num>
  <w:num w:numId="43" w16cid:durableId="2026058572">
    <w:abstractNumId w:val="32"/>
  </w:num>
  <w:num w:numId="44" w16cid:durableId="968978676">
    <w:abstractNumId w:val="13"/>
  </w:num>
  <w:num w:numId="45" w16cid:durableId="686641945">
    <w:abstractNumId w:val="43"/>
  </w:num>
  <w:num w:numId="46" w16cid:durableId="621614210">
    <w:abstractNumId w:val="23"/>
  </w:num>
  <w:num w:numId="47" w16cid:durableId="1012760157">
    <w:abstractNumId w:val="77"/>
  </w:num>
  <w:num w:numId="48" w16cid:durableId="798568988">
    <w:abstractNumId w:val="51"/>
  </w:num>
  <w:num w:numId="49" w16cid:durableId="1698310958">
    <w:abstractNumId w:val="67"/>
  </w:num>
  <w:num w:numId="50" w16cid:durableId="1614819822">
    <w:abstractNumId w:val="14"/>
  </w:num>
  <w:num w:numId="51" w16cid:durableId="1142114413">
    <w:abstractNumId w:val="79"/>
  </w:num>
  <w:num w:numId="52" w16cid:durableId="2101101457">
    <w:abstractNumId w:val="57"/>
  </w:num>
  <w:num w:numId="53" w16cid:durableId="194542002">
    <w:abstractNumId w:val="36"/>
  </w:num>
  <w:num w:numId="54" w16cid:durableId="719524099">
    <w:abstractNumId w:val="11"/>
  </w:num>
  <w:num w:numId="55" w16cid:durableId="1171603216">
    <w:abstractNumId w:val="27"/>
  </w:num>
  <w:num w:numId="56" w16cid:durableId="1153374064">
    <w:abstractNumId w:val="80"/>
  </w:num>
  <w:num w:numId="57" w16cid:durableId="878518644">
    <w:abstractNumId w:val="17"/>
  </w:num>
  <w:num w:numId="58" w16cid:durableId="1141919799">
    <w:abstractNumId w:val="41"/>
  </w:num>
  <w:num w:numId="59" w16cid:durableId="452670403">
    <w:abstractNumId w:val="84"/>
  </w:num>
  <w:num w:numId="60" w16cid:durableId="1085036064">
    <w:abstractNumId w:val="12"/>
  </w:num>
  <w:num w:numId="61" w16cid:durableId="1064646418">
    <w:abstractNumId w:val="38"/>
  </w:num>
  <w:num w:numId="62" w16cid:durableId="538392673">
    <w:abstractNumId w:val="10"/>
  </w:num>
  <w:num w:numId="63" w16cid:durableId="1579897031">
    <w:abstractNumId w:val="28"/>
  </w:num>
  <w:num w:numId="64" w16cid:durableId="1620842946">
    <w:abstractNumId w:val="49"/>
  </w:num>
  <w:num w:numId="65" w16cid:durableId="6495972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0"/>
  </w:num>
  <w:num w:numId="67" w16cid:durableId="148521654">
    <w:abstractNumId w:val="5"/>
  </w:num>
  <w:num w:numId="68" w16cid:durableId="1284574732">
    <w:abstractNumId w:val="24"/>
  </w:num>
  <w:num w:numId="69" w16cid:durableId="1849128260">
    <w:abstractNumId w:val="75"/>
  </w:num>
  <w:num w:numId="70" w16cid:durableId="444155293">
    <w:abstractNumId w:val="87"/>
  </w:num>
  <w:num w:numId="71" w16cid:durableId="643119689">
    <w:abstractNumId w:val="48"/>
  </w:num>
  <w:num w:numId="72" w16cid:durableId="1087649533">
    <w:abstractNumId w:val="66"/>
  </w:num>
  <w:num w:numId="73" w16cid:durableId="1811434052">
    <w:abstractNumId w:val="64"/>
  </w:num>
  <w:num w:numId="74" w16cid:durableId="410392860">
    <w:abstractNumId w:val="21"/>
  </w:num>
  <w:num w:numId="75" w16cid:durableId="661852102">
    <w:abstractNumId w:val="8"/>
  </w:num>
  <w:num w:numId="76" w16cid:durableId="568005821">
    <w:abstractNumId w:val="78"/>
  </w:num>
  <w:num w:numId="77" w16cid:durableId="1154252019">
    <w:abstractNumId w:val="37"/>
  </w:num>
  <w:num w:numId="78" w16cid:durableId="716900302">
    <w:abstractNumId w:val="40"/>
  </w:num>
  <w:num w:numId="79" w16cid:durableId="864057751">
    <w:abstractNumId w:val="26"/>
  </w:num>
  <w:num w:numId="80" w16cid:durableId="1198398560">
    <w:abstractNumId w:val="9"/>
  </w:num>
  <w:num w:numId="81" w16cid:durableId="914557502">
    <w:abstractNumId w:val="31"/>
  </w:num>
  <w:num w:numId="82" w16cid:durableId="1463111843">
    <w:abstractNumId w:val="60"/>
  </w:num>
  <w:num w:numId="83" w16cid:durableId="974221497">
    <w:abstractNumId w:val="47"/>
  </w:num>
  <w:num w:numId="84" w16cid:durableId="594094564">
    <w:abstractNumId w:val="53"/>
  </w:num>
  <w:num w:numId="85" w16cid:durableId="820074568">
    <w:abstractNumId w:val="69"/>
  </w:num>
  <w:num w:numId="86" w16cid:durableId="1856532944">
    <w:abstractNumId w:val="3"/>
  </w:num>
  <w:num w:numId="87" w16cid:durableId="1181313400">
    <w:abstractNumId w:val="46"/>
  </w:num>
  <w:num w:numId="88" w16cid:durableId="33916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40110"/>
    <w:rsid w:val="00060A97"/>
    <w:rsid w:val="00062570"/>
    <w:rsid w:val="00074727"/>
    <w:rsid w:val="000A5245"/>
    <w:rsid w:val="000B3EDC"/>
    <w:rsid w:val="000F51B6"/>
    <w:rsid w:val="001150A6"/>
    <w:rsid w:val="001379F5"/>
    <w:rsid w:val="00185C37"/>
    <w:rsid w:val="001966F7"/>
    <w:rsid w:val="001A18CA"/>
    <w:rsid w:val="001A32FF"/>
    <w:rsid w:val="001C3F71"/>
    <w:rsid w:val="001F5AB1"/>
    <w:rsid w:val="00206C66"/>
    <w:rsid w:val="00281399"/>
    <w:rsid w:val="00285AC9"/>
    <w:rsid w:val="002B7DD2"/>
    <w:rsid w:val="002E1DDE"/>
    <w:rsid w:val="002E3920"/>
    <w:rsid w:val="0035222B"/>
    <w:rsid w:val="00371EE5"/>
    <w:rsid w:val="003C706D"/>
    <w:rsid w:val="003F6790"/>
    <w:rsid w:val="004003FF"/>
    <w:rsid w:val="00407447"/>
    <w:rsid w:val="00410815"/>
    <w:rsid w:val="004451D5"/>
    <w:rsid w:val="00485E50"/>
    <w:rsid w:val="004A2B79"/>
    <w:rsid w:val="004B1030"/>
    <w:rsid w:val="004F1BCD"/>
    <w:rsid w:val="004F2BE4"/>
    <w:rsid w:val="004F4886"/>
    <w:rsid w:val="0050014B"/>
    <w:rsid w:val="00513A01"/>
    <w:rsid w:val="00516EBB"/>
    <w:rsid w:val="00557EEA"/>
    <w:rsid w:val="005E0983"/>
    <w:rsid w:val="00636035"/>
    <w:rsid w:val="00683B4F"/>
    <w:rsid w:val="006B1A16"/>
    <w:rsid w:val="006B20CA"/>
    <w:rsid w:val="006B441F"/>
    <w:rsid w:val="006C208E"/>
    <w:rsid w:val="006D415C"/>
    <w:rsid w:val="006E38FE"/>
    <w:rsid w:val="006F07E0"/>
    <w:rsid w:val="00704130"/>
    <w:rsid w:val="007246E3"/>
    <w:rsid w:val="007514CE"/>
    <w:rsid w:val="00780D3B"/>
    <w:rsid w:val="0079569E"/>
    <w:rsid w:val="007A4F49"/>
    <w:rsid w:val="007B51D5"/>
    <w:rsid w:val="00815959"/>
    <w:rsid w:val="00856DAD"/>
    <w:rsid w:val="0087686E"/>
    <w:rsid w:val="0088155A"/>
    <w:rsid w:val="008969FA"/>
    <w:rsid w:val="00897415"/>
    <w:rsid w:val="008A5AA3"/>
    <w:rsid w:val="008C4077"/>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B32D27"/>
    <w:rsid w:val="00B401D2"/>
    <w:rsid w:val="00B40C44"/>
    <w:rsid w:val="00B41CD7"/>
    <w:rsid w:val="00B54F8A"/>
    <w:rsid w:val="00B80B52"/>
    <w:rsid w:val="00BA282A"/>
    <w:rsid w:val="00BB2CA6"/>
    <w:rsid w:val="00BF7B32"/>
    <w:rsid w:val="00C145A0"/>
    <w:rsid w:val="00C33647"/>
    <w:rsid w:val="00C65000"/>
    <w:rsid w:val="00C71845"/>
    <w:rsid w:val="00C75B4F"/>
    <w:rsid w:val="00C81922"/>
    <w:rsid w:val="00CC1F2C"/>
    <w:rsid w:val="00CD21D3"/>
    <w:rsid w:val="00CD4007"/>
    <w:rsid w:val="00CF0955"/>
    <w:rsid w:val="00D20CDE"/>
    <w:rsid w:val="00D408DB"/>
    <w:rsid w:val="00D708EB"/>
    <w:rsid w:val="00D752B5"/>
    <w:rsid w:val="00DA730C"/>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0CB7"/>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23A6F"/>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3987</Words>
  <Characters>2273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2025-03-25T15:59:00Z</dcterms:created>
  <dcterms:modified xsi:type="dcterms:W3CDTF">2025-03-25T15:59:00Z</dcterms:modified>
</cp:coreProperties>
</file>